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eastAsia="方正小标宋简体"/>
          <w:b w:val="0"/>
          <w:bCs w:val="0"/>
          <w:sz w:val="36"/>
          <w:szCs w:val="36"/>
          <w:lang w:val="en-US" w:eastAsia="zh-CN"/>
        </w:rPr>
      </w:pPr>
      <w:r>
        <w:rPr>
          <w:rFonts w:hint="eastAsia" w:ascii="方正小标宋简体" w:eastAsia="方正小标宋简体"/>
          <w:b w:val="0"/>
          <w:bCs w:val="0"/>
          <w:sz w:val="36"/>
          <w:szCs w:val="36"/>
          <w:lang w:val="en-US" w:eastAsia="zh-CN"/>
        </w:rPr>
        <w:t>北京市朝阳区科学技术和信息化局</w:t>
      </w:r>
    </w:p>
    <w:p>
      <w:pPr>
        <w:spacing w:line="560" w:lineRule="exact"/>
        <w:jc w:val="center"/>
        <w:rPr>
          <w:rFonts w:ascii="方正小标宋简体" w:eastAsia="方正小标宋简体"/>
          <w:sz w:val="36"/>
          <w:szCs w:val="36"/>
        </w:rPr>
      </w:pPr>
      <w:r>
        <w:rPr>
          <w:rFonts w:hint="eastAsia" w:ascii="方正小标宋简体" w:eastAsia="方正小标宋简体"/>
          <w:b w:val="0"/>
          <w:bCs w:val="0"/>
          <w:sz w:val="36"/>
          <w:szCs w:val="36"/>
        </w:rPr>
        <w:t>部门整体绩效评价报告</w:t>
      </w:r>
    </w:p>
    <w:p>
      <w:pPr>
        <w:spacing w:line="600" w:lineRule="exact"/>
        <w:ind w:firstLine="640" w:firstLineChars="200"/>
        <w:rPr>
          <w:rFonts w:ascii="黑体" w:hAnsi="黑体" w:eastAsia="黑体" w:cs="宋体"/>
          <w:color w:val="000000"/>
          <w:kern w:val="0"/>
          <w:sz w:val="32"/>
          <w:szCs w:val="32"/>
        </w:rPr>
      </w:pPr>
      <w:r>
        <w:rPr>
          <w:rFonts w:hint="eastAsia" w:ascii="黑体" w:hAnsi="黑体" w:eastAsia="黑体" w:cs="宋体"/>
          <w:color w:val="000000"/>
          <w:kern w:val="0"/>
          <w:sz w:val="32"/>
          <w:szCs w:val="32"/>
        </w:rPr>
        <w:t>一、部门概况</w:t>
      </w:r>
    </w:p>
    <w:p>
      <w:pPr>
        <w:spacing w:line="600" w:lineRule="exact"/>
        <w:ind w:firstLine="643" w:firstLineChars="200"/>
        <w:rPr>
          <w:rFonts w:ascii="楷体_GB2312" w:eastAsia="楷体_GB2312"/>
          <w:b/>
          <w:bCs/>
          <w:sz w:val="32"/>
          <w:szCs w:val="32"/>
        </w:rPr>
      </w:pPr>
      <w:r>
        <w:rPr>
          <w:rFonts w:hint="eastAsia" w:ascii="楷体_GB2312" w:eastAsia="楷体_GB2312"/>
          <w:b/>
          <w:bCs/>
          <w:sz w:val="32"/>
          <w:szCs w:val="32"/>
        </w:rPr>
        <w:t>（一）机构设置及职责工作任务情况</w:t>
      </w:r>
    </w:p>
    <w:p>
      <w:pPr>
        <w:spacing w:line="600" w:lineRule="exact"/>
        <w:ind w:firstLine="643" w:firstLineChars="200"/>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1．机构情况</w:t>
      </w:r>
    </w:p>
    <w:p>
      <w:pPr>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根据《中共北京市朝阳区委办公室 北京市朝阳区人民政府办公室 关于印发〈北京市朝阳区科学技术和信息化局职能配置、内设机构和人员编制规定〉的通知》(京朝办字〔2019〕19号)，设立北京市朝阳区科学技术和信息化局，内设6个科室，分别是办公室、发展规划科、社会发展科技科、产业发展科、信息化管理科、信息化促进科。</w:t>
      </w:r>
      <w:r>
        <w:rPr>
          <w:rFonts w:eastAsia="仿宋_GB2312"/>
          <w:sz w:val="32"/>
          <w:szCs w:val="32"/>
        </w:rPr>
        <w:t>事业单位</w:t>
      </w:r>
      <w:r>
        <w:rPr>
          <w:rFonts w:hint="eastAsia" w:eastAsia="仿宋_GB2312"/>
          <w:sz w:val="32"/>
          <w:szCs w:val="32"/>
        </w:rPr>
        <w:t>3个，分别</w:t>
      </w:r>
      <w:r>
        <w:rPr>
          <w:rFonts w:eastAsia="仿宋_GB2312"/>
          <w:sz w:val="32"/>
          <w:szCs w:val="32"/>
        </w:rPr>
        <w:t>为</w:t>
      </w:r>
      <w:r>
        <w:rPr>
          <w:rFonts w:hint="eastAsia" w:eastAsia="仿宋_GB2312"/>
          <w:sz w:val="32"/>
          <w:szCs w:val="32"/>
        </w:rPr>
        <w:t>北京市朝阳区科技创新服务中心，北京市朝阳区大数据信息中心，北京市朝阳区信息网络中心</w:t>
      </w:r>
      <w:r>
        <w:rPr>
          <w:rFonts w:eastAsia="仿宋_GB2312"/>
          <w:sz w:val="32"/>
          <w:szCs w:val="32"/>
        </w:rPr>
        <w:t>。</w:t>
      </w:r>
    </w:p>
    <w:p>
      <w:pPr>
        <w:spacing w:line="60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2023年2月，根据《中共北京市朝阳区委中关村科技园区朝阳园工作委员会、中关村科技园区朝阳园管理委员会、北京市朝阳区科学技术和信息化局职能配置、内设机构和人员编制规定》(京朝办字〔2023〕2号)规定，中共北京市朝阳区委中关村科技园区朝阳园工作委员会(简称朝阳园党工委)是区委派出机构，中关村科技园区朝阳园管理委员会(简称朝阳园管委会)是区政府派出机构，为副局级。北京市朝阳区科学技术和信息化局(简称区科学技术和信息化局)是区政府工作部门，为正处级，加挂北京市朝阳区大数据管理局(简称区大数据局)牌子。朝阳园党工委、朝阳园管委会与区科学技术和信息化局合署办公。</w:t>
      </w:r>
    </w:p>
    <w:p>
      <w:pPr>
        <w:spacing w:line="60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合署办公后，朝阳园党工委、朝阳园管委会(区科学技术和信息化局)设下列内设机构，分别为办公室、发展规划处、产业促进一处、产业促进二处、科技创新处、产业空间管理处、信息化建设发展处、企业服务处、党群工作处。</w:t>
      </w:r>
    </w:p>
    <w:p>
      <w:pPr>
        <w:spacing w:line="600" w:lineRule="exact"/>
        <w:ind w:firstLine="640" w:firstLineChars="200"/>
        <w:rPr>
          <w:rFonts w:ascii="仿宋_GB2312" w:hAnsi="宋体" w:eastAsia="仿宋_GB2312" w:cs="宋体"/>
          <w:color w:val="000000"/>
          <w:kern w:val="0"/>
          <w:sz w:val="32"/>
          <w:szCs w:val="32"/>
        </w:rPr>
      </w:pPr>
      <w:r>
        <w:rPr>
          <w:rFonts w:hint="eastAsia" w:ascii="仿宋_GB2312" w:hAnsi="仿宋" w:eastAsia="仿宋_GB2312"/>
          <w:sz w:val="32"/>
          <w:szCs w:val="32"/>
        </w:rPr>
        <w:t>2023年6月，根据中共北京市朝阳区委机构编制委员会《关于调整中关村科技园区朝阳园管理机构、区科学技术和信息化局所属事业单位机构编制事项的批复》（朝编〔2023〕29号）规定，朝阳园党工委、朝阳园管委会（区科学技术和信息化局）所属事业单位共3个，分别为区科技创新服务中心，区大数据信息中心，区信息网络中心</w:t>
      </w:r>
      <w:r>
        <w:rPr>
          <w:rFonts w:eastAsia="仿宋_GB2312"/>
          <w:sz w:val="32"/>
          <w:szCs w:val="32"/>
        </w:rPr>
        <w:t>。</w:t>
      </w:r>
    </w:p>
    <w:p>
      <w:pPr>
        <w:spacing w:line="600" w:lineRule="exact"/>
        <w:ind w:firstLine="643" w:firstLineChars="200"/>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2.主要职能</w:t>
      </w:r>
    </w:p>
    <w:p>
      <w:pPr>
        <w:spacing w:line="600" w:lineRule="exac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区科学技术和信息化局贯彻落实党中央、市委关于科技创新工作、软件和信息服务业、信息化方面的方针政策、决策部署和区委有关工作要求，在履行职责过程中坚持和加强党对科技创新工作、软件和信息服务业、信息化的集中统一领导。朝阳园管委会(区科学技术和信息化局)主要职责是：</w:t>
      </w:r>
    </w:p>
    <w:p>
      <w:pPr>
        <w:spacing w:line="600" w:lineRule="exac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lang w:eastAsia="zh-CN"/>
        </w:rPr>
        <w:t>（</w:t>
      </w:r>
      <w:r>
        <w:rPr>
          <w:rFonts w:hint="eastAsia" w:ascii="仿宋_GB2312" w:hAnsi="宋体" w:eastAsia="仿宋_GB2312" w:cs="宋体"/>
          <w:color w:val="000000"/>
          <w:kern w:val="0"/>
          <w:sz w:val="32"/>
          <w:szCs w:val="32"/>
          <w:lang w:val="en-US" w:eastAsia="zh-CN"/>
        </w:rPr>
        <w:t>1</w:t>
      </w:r>
      <w:r>
        <w:rPr>
          <w:rFonts w:hint="eastAsia" w:ascii="仿宋_GB2312" w:hAnsi="宋体" w:eastAsia="仿宋_GB2312" w:cs="宋体"/>
          <w:color w:val="000000"/>
          <w:kern w:val="0"/>
          <w:sz w:val="32"/>
          <w:szCs w:val="32"/>
          <w:lang w:eastAsia="zh-CN"/>
        </w:rPr>
        <w:t>）</w:t>
      </w:r>
      <w:r>
        <w:rPr>
          <w:rFonts w:hint="eastAsia" w:ascii="仿宋_GB2312" w:hAnsi="宋体" w:eastAsia="仿宋_GB2312" w:cs="宋体"/>
          <w:color w:val="000000"/>
          <w:kern w:val="0"/>
          <w:sz w:val="32"/>
          <w:szCs w:val="32"/>
        </w:rPr>
        <w:t>贯彻落实国家和北京市有关法律法规和政策，执行国家和北京市关于中关村国家自主创新示范区建设发展、创新驱动发展战略、科技和信息化发展的政策，及区委、区政府的有关决议、决定。</w:t>
      </w:r>
    </w:p>
    <w:p>
      <w:pPr>
        <w:spacing w:line="600" w:lineRule="exac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lang w:eastAsia="zh-CN"/>
        </w:rPr>
        <w:t>（</w:t>
      </w:r>
      <w:r>
        <w:rPr>
          <w:rFonts w:hint="eastAsia" w:ascii="仿宋_GB2312" w:hAnsi="宋体" w:eastAsia="仿宋_GB2312" w:cs="宋体"/>
          <w:color w:val="000000"/>
          <w:kern w:val="0"/>
          <w:sz w:val="32"/>
          <w:szCs w:val="32"/>
          <w:lang w:val="en-US" w:eastAsia="zh-CN"/>
        </w:rPr>
        <w:t>2</w:t>
      </w:r>
      <w:r>
        <w:rPr>
          <w:rFonts w:hint="eastAsia" w:ascii="仿宋_GB2312" w:hAnsi="宋体" w:eastAsia="仿宋_GB2312" w:cs="宋体"/>
          <w:color w:val="000000"/>
          <w:kern w:val="0"/>
          <w:sz w:val="32"/>
          <w:szCs w:val="32"/>
          <w:lang w:eastAsia="zh-CN"/>
        </w:rPr>
        <w:t>）</w:t>
      </w:r>
      <w:r>
        <w:rPr>
          <w:rFonts w:hint="eastAsia" w:ascii="仿宋_GB2312" w:hAnsi="宋体" w:eastAsia="仿宋_GB2312" w:cs="宋体"/>
          <w:color w:val="000000"/>
          <w:kern w:val="0"/>
          <w:sz w:val="32"/>
          <w:szCs w:val="32"/>
        </w:rPr>
        <w:t>负责拟订本区科技发展、园区发展、科普工作等中长期、专项规划并组织实施。促进高新技术产业、数字经济、高精尖产业、工业及中小企业发展。</w:t>
      </w:r>
    </w:p>
    <w:p>
      <w:pPr>
        <w:spacing w:line="600" w:lineRule="exac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lang w:eastAsia="zh-CN"/>
        </w:rPr>
        <w:t>（</w:t>
      </w:r>
      <w:r>
        <w:rPr>
          <w:rFonts w:hint="eastAsia" w:ascii="仿宋_GB2312" w:hAnsi="宋体" w:eastAsia="仿宋_GB2312" w:cs="宋体"/>
          <w:color w:val="000000"/>
          <w:kern w:val="0"/>
          <w:sz w:val="32"/>
          <w:szCs w:val="32"/>
          <w:lang w:val="en-US" w:eastAsia="zh-CN"/>
        </w:rPr>
        <w:t>3</w:t>
      </w:r>
      <w:r>
        <w:rPr>
          <w:rFonts w:hint="eastAsia" w:ascii="仿宋_GB2312" w:hAnsi="宋体" w:eastAsia="仿宋_GB2312" w:cs="宋体"/>
          <w:color w:val="000000"/>
          <w:kern w:val="0"/>
          <w:sz w:val="32"/>
          <w:szCs w:val="32"/>
          <w:lang w:eastAsia="zh-CN"/>
        </w:rPr>
        <w:t>）</w:t>
      </w:r>
      <w:r>
        <w:rPr>
          <w:rFonts w:hint="eastAsia" w:ascii="仿宋_GB2312" w:hAnsi="宋体" w:eastAsia="仿宋_GB2312" w:cs="宋体"/>
          <w:color w:val="000000"/>
          <w:kern w:val="0"/>
          <w:sz w:val="32"/>
          <w:szCs w:val="32"/>
        </w:rPr>
        <w:t>落实示范区优化产业布局调控要求，参与编制园区空间规划、控制性详细规划、产业布局规划，制定规划综合实施方案并推进落实。</w:t>
      </w:r>
    </w:p>
    <w:p>
      <w:pPr>
        <w:spacing w:line="600" w:lineRule="exac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lang w:eastAsia="zh-CN"/>
        </w:rPr>
        <w:t>（</w:t>
      </w:r>
      <w:r>
        <w:rPr>
          <w:rFonts w:hint="eastAsia" w:ascii="仿宋_GB2312" w:hAnsi="宋体" w:eastAsia="仿宋_GB2312" w:cs="宋体"/>
          <w:color w:val="000000"/>
          <w:kern w:val="0"/>
          <w:sz w:val="32"/>
          <w:szCs w:val="32"/>
          <w:lang w:val="en-US" w:eastAsia="zh-CN"/>
        </w:rPr>
        <w:t>4</w:t>
      </w:r>
      <w:r>
        <w:rPr>
          <w:rFonts w:hint="eastAsia" w:ascii="仿宋_GB2312" w:hAnsi="宋体" w:eastAsia="仿宋_GB2312" w:cs="宋体"/>
          <w:color w:val="000000"/>
          <w:kern w:val="0"/>
          <w:sz w:val="32"/>
          <w:szCs w:val="32"/>
          <w:lang w:eastAsia="zh-CN"/>
        </w:rPr>
        <w:t>）</w:t>
      </w:r>
      <w:r>
        <w:rPr>
          <w:rFonts w:hint="eastAsia" w:ascii="仿宋_GB2312" w:hAnsi="宋体" w:eastAsia="仿宋_GB2312" w:cs="宋体"/>
          <w:color w:val="000000"/>
          <w:kern w:val="0"/>
          <w:sz w:val="32"/>
          <w:szCs w:val="32"/>
        </w:rPr>
        <w:t>牵头推进本区科技创新体系建设，组织开展科技创新成果转化、创新能力建设、产学研融合发展、科学研究和技术服务业发展，开展政策宣传培训和政策扶持，开展重大科技成果推广应用示范和科技领域创新示范、军民融合、科技金融、知识产权保护利用、国际化发展、科技惠民等方面的促进服务工作。牵头建立本区科技管理平台和科研项目资金协调、监管机制。</w:t>
      </w:r>
    </w:p>
    <w:p>
      <w:pPr>
        <w:spacing w:line="600" w:lineRule="exac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lang w:eastAsia="zh-CN"/>
        </w:rPr>
        <w:t>（</w:t>
      </w:r>
      <w:r>
        <w:rPr>
          <w:rFonts w:hint="eastAsia" w:ascii="仿宋_GB2312" w:hAnsi="宋体" w:eastAsia="仿宋_GB2312" w:cs="宋体"/>
          <w:color w:val="000000"/>
          <w:kern w:val="0"/>
          <w:sz w:val="32"/>
          <w:szCs w:val="32"/>
          <w:lang w:val="en-US" w:eastAsia="zh-CN"/>
        </w:rPr>
        <w:t>5</w:t>
      </w:r>
      <w:r>
        <w:rPr>
          <w:rFonts w:hint="eastAsia" w:ascii="仿宋_GB2312" w:hAnsi="宋体" w:eastAsia="仿宋_GB2312" w:cs="宋体"/>
          <w:color w:val="000000"/>
          <w:kern w:val="0"/>
          <w:sz w:val="32"/>
          <w:szCs w:val="32"/>
          <w:lang w:eastAsia="zh-CN"/>
        </w:rPr>
        <w:t>）</w:t>
      </w:r>
      <w:r>
        <w:rPr>
          <w:rFonts w:hint="eastAsia" w:ascii="仿宋_GB2312" w:hAnsi="宋体" w:eastAsia="仿宋_GB2312" w:cs="宋体"/>
          <w:color w:val="000000"/>
          <w:kern w:val="0"/>
          <w:sz w:val="32"/>
          <w:szCs w:val="32"/>
        </w:rPr>
        <w:t>组织开展本区及园区高新技术企业认定、招商引资、经济分析、经济发展、财源建设、区科技计划专项实施等工作，协助统计主管部门做好园区科技统计工作，协调区有关部门和街乡及驻区社会单位落实园区产业发展工作。</w:t>
      </w:r>
    </w:p>
    <w:p>
      <w:pPr>
        <w:spacing w:line="600" w:lineRule="exac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lang w:eastAsia="zh-CN"/>
        </w:rPr>
        <w:t>（</w:t>
      </w:r>
      <w:r>
        <w:rPr>
          <w:rFonts w:hint="eastAsia" w:ascii="仿宋_GB2312" w:hAnsi="宋体" w:eastAsia="仿宋_GB2312" w:cs="宋体"/>
          <w:color w:val="000000"/>
          <w:kern w:val="0"/>
          <w:sz w:val="32"/>
          <w:szCs w:val="32"/>
          <w:lang w:val="en-US" w:eastAsia="zh-CN"/>
        </w:rPr>
        <w:t>6</w:t>
      </w:r>
      <w:r>
        <w:rPr>
          <w:rFonts w:hint="eastAsia" w:ascii="仿宋_GB2312" w:hAnsi="宋体" w:eastAsia="仿宋_GB2312" w:cs="宋体"/>
          <w:color w:val="000000"/>
          <w:kern w:val="0"/>
          <w:sz w:val="32"/>
          <w:szCs w:val="32"/>
          <w:lang w:eastAsia="zh-CN"/>
        </w:rPr>
        <w:t>）</w:t>
      </w:r>
      <w:r>
        <w:rPr>
          <w:rFonts w:hint="eastAsia" w:ascii="仿宋_GB2312" w:hAnsi="宋体" w:eastAsia="仿宋_GB2312" w:cs="宋体"/>
          <w:color w:val="000000"/>
          <w:kern w:val="0"/>
          <w:sz w:val="32"/>
          <w:szCs w:val="32"/>
        </w:rPr>
        <w:t>负责开展本区及园区创业服务、企业服务、产业促进、对外交流合作、宣传推介工作，优化发展环境，服务区域协调发展。</w:t>
      </w:r>
    </w:p>
    <w:p>
      <w:pPr>
        <w:spacing w:line="600" w:lineRule="exac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lang w:eastAsia="zh-CN"/>
        </w:rPr>
        <w:t>（</w:t>
      </w:r>
      <w:r>
        <w:rPr>
          <w:rFonts w:hint="eastAsia" w:ascii="仿宋_GB2312" w:hAnsi="宋体" w:eastAsia="仿宋_GB2312" w:cs="宋体"/>
          <w:color w:val="000000"/>
          <w:kern w:val="0"/>
          <w:sz w:val="32"/>
          <w:szCs w:val="32"/>
          <w:lang w:val="en-US" w:eastAsia="zh-CN"/>
        </w:rPr>
        <w:t>7</w:t>
      </w:r>
      <w:r>
        <w:rPr>
          <w:rFonts w:hint="eastAsia" w:ascii="仿宋_GB2312" w:hAnsi="宋体" w:eastAsia="仿宋_GB2312" w:cs="宋体"/>
          <w:color w:val="000000"/>
          <w:kern w:val="0"/>
          <w:sz w:val="32"/>
          <w:szCs w:val="32"/>
          <w:lang w:eastAsia="zh-CN"/>
        </w:rPr>
        <w:t>）</w:t>
      </w:r>
      <w:r>
        <w:rPr>
          <w:rFonts w:hint="eastAsia" w:ascii="仿宋_GB2312" w:hAnsi="宋体" w:eastAsia="仿宋_GB2312" w:cs="宋体"/>
          <w:color w:val="000000"/>
          <w:kern w:val="0"/>
          <w:sz w:val="32"/>
          <w:szCs w:val="32"/>
        </w:rPr>
        <w:t>负责本区软件及信息服务业、信息化方面监测分析、统计发布工作，协调解决软件及信息服务业、信息化运行和发展中的有关问题，并提出政策建议，指导软件和信息服务业安全生产管理工作。</w:t>
      </w:r>
    </w:p>
    <w:p>
      <w:pPr>
        <w:spacing w:line="600" w:lineRule="exac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lang w:eastAsia="zh-CN"/>
        </w:rPr>
        <w:t>（</w:t>
      </w:r>
      <w:r>
        <w:rPr>
          <w:rFonts w:hint="eastAsia" w:ascii="仿宋_GB2312" w:hAnsi="宋体" w:eastAsia="仿宋_GB2312" w:cs="宋体"/>
          <w:color w:val="000000"/>
          <w:kern w:val="0"/>
          <w:sz w:val="32"/>
          <w:szCs w:val="32"/>
          <w:lang w:val="en-US" w:eastAsia="zh-CN"/>
        </w:rPr>
        <w:t>8</w:t>
      </w:r>
      <w:r>
        <w:rPr>
          <w:rFonts w:hint="eastAsia" w:ascii="仿宋_GB2312" w:hAnsi="宋体" w:eastAsia="仿宋_GB2312" w:cs="宋体"/>
          <w:color w:val="000000"/>
          <w:kern w:val="0"/>
          <w:sz w:val="32"/>
          <w:szCs w:val="32"/>
          <w:lang w:eastAsia="zh-CN"/>
        </w:rPr>
        <w:t>）</w:t>
      </w:r>
      <w:r>
        <w:rPr>
          <w:rFonts w:hint="eastAsia" w:ascii="仿宋_GB2312" w:hAnsi="宋体" w:eastAsia="仿宋_GB2312" w:cs="宋体"/>
          <w:color w:val="000000"/>
          <w:kern w:val="0"/>
          <w:sz w:val="32"/>
          <w:szCs w:val="32"/>
        </w:rPr>
        <w:t>负责本区信息化基础设施规划管理、协调融合等相关工作。负责政务信息安全管理工作。承担本区通信保障应急指挥相关工作。</w:t>
      </w:r>
    </w:p>
    <w:p>
      <w:pPr>
        <w:spacing w:line="600" w:lineRule="exac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lang w:eastAsia="zh-CN"/>
        </w:rPr>
        <w:t>（</w:t>
      </w:r>
      <w:r>
        <w:rPr>
          <w:rFonts w:hint="eastAsia" w:ascii="仿宋_GB2312" w:hAnsi="宋体" w:eastAsia="仿宋_GB2312" w:cs="宋体"/>
          <w:color w:val="000000"/>
          <w:kern w:val="0"/>
          <w:sz w:val="32"/>
          <w:szCs w:val="32"/>
          <w:lang w:val="en-US" w:eastAsia="zh-CN"/>
        </w:rPr>
        <w:t>9</w:t>
      </w:r>
      <w:r>
        <w:rPr>
          <w:rFonts w:hint="eastAsia" w:ascii="仿宋_GB2312" w:hAnsi="宋体" w:eastAsia="仿宋_GB2312" w:cs="宋体"/>
          <w:color w:val="000000"/>
          <w:kern w:val="0"/>
          <w:sz w:val="32"/>
          <w:szCs w:val="32"/>
          <w:lang w:eastAsia="zh-CN"/>
        </w:rPr>
        <w:t>）</w:t>
      </w:r>
      <w:r>
        <w:rPr>
          <w:rFonts w:hint="eastAsia" w:ascii="仿宋_GB2312" w:hAnsi="宋体" w:eastAsia="仿宋_GB2312" w:cs="宋体"/>
          <w:color w:val="000000"/>
          <w:kern w:val="0"/>
          <w:sz w:val="32"/>
          <w:szCs w:val="32"/>
        </w:rPr>
        <w:t>统筹推进本区大数据、社会信用信息技术支撑体系建设工作。负责政务数据和相关社会数据的整合、管理、应用和服务体系建设工作。</w:t>
      </w:r>
    </w:p>
    <w:p>
      <w:pPr>
        <w:spacing w:line="600" w:lineRule="exac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lang w:eastAsia="zh-CN"/>
        </w:rPr>
        <w:t>（</w:t>
      </w:r>
      <w:r>
        <w:rPr>
          <w:rFonts w:hint="eastAsia" w:ascii="仿宋_GB2312" w:hAnsi="宋体" w:eastAsia="仿宋_GB2312" w:cs="宋体"/>
          <w:color w:val="000000"/>
          <w:kern w:val="0"/>
          <w:sz w:val="32"/>
          <w:szCs w:val="32"/>
          <w:lang w:val="en-US" w:eastAsia="zh-CN"/>
        </w:rPr>
        <w:t>10</w:t>
      </w:r>
      <w:r>
        <w:rPr>
          <w:rFonts w:hint="eastAsia" w:ascii="仿宋_GB2312" w:hAnsi="宋体" w:eastAsia="仿宋_GB2312" w:cs="宋体"/>
          <w:color w:val="000000"/>
          <w:kern w:val="0"/>
          <w:sz w:val="32"/>
          <w:szCs w:val="32"/>
          <w:lang w:eastAsia="zh-CN"/>
        </w:rPr>
        <w:t>）</w:t>
      </w:r>
      <w:r>
        <w:rPr>
          <w:rFonts w:hint="eastAsia" w:ascii="仿宋_GB2312" w:hAnsi="宋体" w:eastAsia="仿宋_GB2312" w:cs="宋体"/>
          <w:color w:val="000000"/>
          <w:kern w:val="0"/>
          <w:sz w:val="32"/>
          <w:szCs w:val="32"/>
        </w:rPr>
        <w:t>充分发挥统筹协调作用，督促驻区企业、相关责任单位履职尽责，解决安全生产工作中的突出矛盾和问题。协助有关部门和属地街乡依法履行安全生产管理职责。</w:t>
      </w:r>
    </w:p>
    <w:p>
      <w:pPr>
        <w:spacing w:line="600" w:lineRule="exact"/>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lang w:eastAsia="zh-CN"/>
        </w:rPr>
        <w:t>（</w:t>
      </w:r>
      <w:r>
        <w:rPr>
          <w:rFonts w:hint="eastAsia" w:ascii="仿宋_GB2312" w:hAnsi="宋体" w:eastAsia="仿宋_GB2312" w:cs="宋体"/>
          <w:color w:val="000000"/>
          <w:kern w:val="0"/>
          <w:sz w:val="32"/>
          <w:szCs w:val="32"/>
          <w:lang w:val="en-US" w:eastAsia="zh-CN"/>
        </w:rPr>
        <w:t>11</w:t>
      </w:r>
      <w:r>
        <w:rPr>
          <w:rFonts w:hint="eastAsia" w:ascii="仿宋_GB2312" w:hAnsi="宋体" w:eastAsia="仿宋_GB2312" w:cs="宋体"/>
          <w:color w:val="000000"/>
          <w:kern w:val="0"/>
          <w:sz w:val="32"/>
          <w:szCs w:val="32"/>
          <w:lang w:eastAsia="zh-CN"/>
        </w:rPr>
        <w:t>）</w:t>
      </w:r>
      <w:r>
        <w:rPr>
          <w:rFonts w:hint="eastAsia" w:ascii="仿宋_GB2312" w:hAnsi="宋体" w:eastAsia="仿宋_GB2312" w:cs="宋体"/>
          <w:color w:val="000000"/>
          <w:kern w:val="0"/>
          <w:sz w:val="32"/>
          <w:szCs w:val="32"/>
        </w:rPr>
        <w:t>完成区委、区政府交办的其他任务。</w:t>
      </w:r>
    </w:p>
    <w:p>
      <w:pPr>
        <w:spacing w:line="600" w:lineRule="exact"/>
        <w:ind w:firstLine="643" w:firstLineChars="200"/>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3．人员情况</w:t>
      </w:r>
    </w:p>
    <w:p>
      <w:pPr>
        <w:spacing w:line="600" w:lineRule="exact"/>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北京市朝阳区科学技术和信息化局原有行政编制27人，实际21人，退休人员</w:t>
      </w:r>
      <w:r>
        <w:rPr>
          <w:rFonts w:hint="eastAsia" w:ascii="仿宋_GB2312" w:hAnsi="宋体" w:eastAsia="仿宋_GB2312" w:cs="宋体"/>
          <w:color w:val="000000"/>
          <w:kern w:val="0"/>
          <w:sz w:val="32"/>
          <w:szCs w:val="32"/>
          <w:lang w:val="en-US" w:eastAsia="zh-CN"/>
        </w:rPr>
        <w:t>17</w:t>
      </w:r>
      <w:r>
        <w:rPr>
          <w:rFonts w:hint="eastAsia" w:ascii="仿宋_GB2312" w:hAnsi="宋体" w:eastAsia="仿宋_GB2312" w:cs="宋体"/>
          <w:color w:val="000000"/>
          <w:kern w:val="0"/>
          <w:sz w:val="32"/>
          <w:szCs w:val="32"/>
        </w:rPr>
        <w:t>人；事业编制33人，实际25人，退休人员1人；聘用人员(公安系统文职人员、公安系统辅警人员、公安系统交通协管员、其他聘用人员--临时工)0人。</w:t>
      </w:r>
    </w:p>
    <w:p>
      <w:pPr>
        <w:spacing w:line="600" w:lineRule="exact"/>
        <w:ind w:firstLine="643" w:firstLineChars="200"/>
        <w:rPr>
          <w:rFonts w:ascii="楷体_GB2312" w:eastAsia="楷体_GB2312"/>
          <w:b/>
          <w:bCs/>
          <w:sz w:val="32"/>
          <w:szCs w:val="32"/>
        </w:rPr>
      </w:pPr>
      <w:r>
        <w:rPr>
          <w:rFonts w:hint="eastAsia" w:ascii="楷体_GB2312" w:eastAsia="楷体_GB2312"/>
          <w:b/>
          <w:bCs/>
          <w:sz w:val="32"/>
          <w:szCs w:val="32"/>
        </w:rPr>
        <w:t>（二）部门整体绩效目标设立情况</w:t>
      </w:r>
    </w:p>
    <w:p>
      <w:pPr>
        <w:spacing w:line="600" w:lineRule="exact"/>
        <w:ind w:firstLine="640" w:firstLineChars="200"/>
        <w:rPr>
          <w:rFonts w:hint="eastAsia"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rPr>
        <w:t>根据部门职责任务和市区工作重点，我部门科学合理设定部门整体绩效目标，做到目标与职责任务相匹配，既能较为全面地覆盖本部门职责任务，同时也统筹考虑未来产业发展和转型升级等形势，使目标制定更具发展性、可持续性和创新性。</w:t>
      </w:r>
      <w:r>
        <w:rPr>
          <w:rFonts w:hint="eastAsia" w:ascii="仿宋_GB2312" w:hAnsi="宋体" w:eastAsia="仿宋_GB2312" w:cs="宋体"/>
          <w:color w:val="000000"/>
          <w:kern w:val="0"/>
          <w:sz w:val="32"/>
          <w:szCs w:val="32"/>
          <w:highlight w:val="none"/>
        </w:rPr>
        <w:t>2023年我部门整体绩效目标如下：按照相关规定和工作要求，协助完成区属单位信息化年度项目、下一年度信息化项目的技术评审工作，并提供相关标准规范、数据统计分析等咨询服务</w:t>
      </w:r>
      <w:r>
        <w:rPr>
          <w:rFonts w:hint="eastAsia" w:ascii="仿宋_GB2312" w:hAnsi="宋体" w:eastAsia="仿宋_GB2312" w:cs="宋体"/>
          <w:color w:val="000000"/>
          <w:kern w:val="0"/>
          <w:sz w:val="32"/>
          <w:szCs w:val="32"/>
          <w:highlight w:val="none"/>
          <w:lang w:eastAsia="zh-CN"/>
        </w:rPr>
        <w:t>；</w:t>
      </w:r>
      <w:r>
        <w:rPr>
          <w:rFonts w:hint="eastAsia" w:ascii="仿宋_GB2312" w:hAnsi="宋体" w:eastAsia="仿宋_GB2312" w:cs="宋体"/>
          <w:color w:val="000000"/>
          <w:kern w:val="0"/>
          <w:sz w:val="32"/>
          <w:szCs w:val="32"/>
          <w:highlight w:val="none"/>
        </w:rPr>
        <w:t>实现各个政府部门日常行政监管的信息共享，并向全社会提供信用查询、信用发布等服务，实现与市级信用平台的对接</w:t>
      </w:r>
      <w:r>
        <w:rPr>
          <w:rFonts w:hint="eastAsia" w:ascii="仿宋_GB2312" w:hAnsi="宋体" w:eastAsia="仿宋_GB2312" w:cs="宋体"/>
          <w:color w:val="000000"/>
          <w:kern w:val="0"/>
          <w:sz w:val="32"/>
          <w:szCs w:val="32"/>
          <w:highlight w:val="none"/>
          <w:lang w:eastAsia="zh-CN"/>
        </w:rPr>
        <w:t>；</w:t>
      </w:r>
      <w:r>
        <w:rPr>
          <w:rFonts w:hint="eastAsia" w:ascii="仿宋_GB2312" w:hAnsi="宋体" w:eastAsia="仿宋_GB2312" w:cs="宋体"/>
          <w:color w:val="000000"/>
          <w:kern w:val="0"/>
          <w:sz w:val="32"/>
          <w:szCs w:val="32"/>
          <w:highlight w:val="none"/>
        </w:rPr>
        <w:t>保障村村通流管站专线安全稳定运行。</w:t>
      </w:r>
    </w:p>
    <w:p>
      <w:pPr>
        <w:spacing w:line="600" w:lineRule="exact"/>
        <w:ind w:firstLine="640" w:firstLineChars="200"/>
        <w:rPr>
          <w:rFonts w:ascii="黑体" w:hAnsi="黑体" w:eastAsia="黑体" w:cs="宋体"/>
          <w:color w:val="000000"/>
          <w:kern w:val="0"/>
          <w:sz w:val="32"/>
          <w:szCs w:val="32"/>
        </w:rPr>
      </w:pPr>
      <w:r>
        <w:rPr>
          <w:rFonts w:hint="eastAsia" w:ascii="黑体" w:hAnsi="黑体" w:eastAsia="黑体" w:cs="宋体"/>
          <w:color w:val="000000"/>
          <w:kern w:val="0"/>
          <w:sz w:val="32"/>
          <w:szCs w:val="32"/>
        </w:rPr>
        <w:t>二</w:t>
      </w:r>
      <w:r>
        <w:rPr>
          <w:rFonts w:ascii="黑体" w:hAnsi="黑体" w:eastAsia="黑体" w:cs="宋体"/>
          <w:color w:val="000000"/>
          <w:kern w:val="0"/>
          <w:sz w:val="32"/>
          <w:szCs w:val="32"/>
        </w:rPr>
        <w:t>、</w:t>
      </w:r>
      <w:r>
        <w:rPr>
          <w:rFonts w:hint="eastAsia" w:ascii="黑体" w:hAnsi="黑体" w:eastAsia="黑体" w:cs="宋体"/>
          <w:color w:val="000000"/>
          <w:kern w:val="0"/>
          <w:sz w:val="32"/>
          <w:szCs w:val="32"/>
        </w:rPr>
        <w:t>当年</w:t>
      </w:r>
      <w:r>
        <w:rPr>
          <w:rFonts w:ascii="黑体" w:hAnsi="黑体" w:eastAsia="黑体" w:cs="宋体"/>
          <w:color w:val="000000"/>
          <w:kern w:val="0"/>
          <w:sz w:val="32"/>
          <w:szCs w:val="32"/>
        </w:rPr>
        <w:t>预算执行情况</w:t>
      </w:r>
    </w:p>
    <w:p>
      <w:pPr>
        <w:spacing w:line="600" w:lineRule="exact"/>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202</w:t>
      </w:r>
      <w:r>
        <w:rPr>
          <w:rFonts w:ascii="仿宋_GB2312" w:hAnsi="宋体" w:eastAsia="仿宋_GB2312" w:cs="宋体"/>
          <w:color w:val="000000"/>
          <w:kern w:val="0"/>
          <w:sz w:val="32"/>
          <w:szCs w:val="32"/>
        </w:rPr>
        <w:t>3</w:t>
      </w:r>
      <w:r>
        <w:rPr>
          <w:rFonts w:hint="eastAsia" w:ascii="仿宋_GB2312" w:hAnsi="宋体" w:eastAsia="仿宋_GB2312" w:cs="宋体"/>
          <w:color w:val="000000"/>
          <w:kern w:val="0"/>
          <w:sz w:val="32"/>
          <w:szCs w:val="32"/>
        </w:rPr>
        <w:t>年</w:t>
      </w:r>
      <w:r>
        <w:rPr>
          <w:rFonts w:ascii="仿宋_GB2312" w:hAnsi="宋体" w:eastAsia="仿宋_GB2312" w:cs="宋体"/>
          <w:color w:val="000000"/>
          <w:kern w:val="0"/>
          <w:sz w:val="32"/>
          <w:szCs w:val="32"/>
        </w:rPr>
        <w:t>全年</w:t>
      </w:r>
      <w:r>
        <w:rPr>
          <w:rFonts w:hint="eastAsia" w:ascii="仿宋_GB2312" w:hAnsi="宋体" w:eastAsia="仿宋_GB2312" w:cs="宋体"/>
          <w:color w:val="000000"/>
          <w:kern w:val="0"/>
          <w:sz w:val="32"/>
          <w:szCs w:val="32"/>
        </w:rPr>
        <w:t>预算收入32897.05万元</w:t>
      </w:r>
      <w:r>
        <w:rPr>
          <w:rFonts w:ascii="仿宋_GB2312" w:hAnsi="宋体" w:eastAsia="仿宋_GB2312" w:cs="宋体"/>
          <w:color w:val="000000"/>
          <w:kern w:val="0"/>
          <w:sz w:val="32"/>
          <w:szCs w:val="32"/>
        </w:rPr>
        <w:t>，</w:t>
      </w:r>
      <w:r>
        <w:rPr>
          <w:rFonts w:hint="eastAsia" w:ascii="仿宋_GB2312" w:hAnsi="宋体" w:eastAsia="仿宋_GB2312" w:cs="宋体"/>
          <w:color w:val="000000"/>
          <w:kern w:val="0"/>
          <w:sz w:val="32"/>
          <w:szCs w:val="32"/>
        </w:rPr>
        <w:t>其中</w:t>
      </w:r>
      <w:r>
        <w:rPr>
          <w:rFonts w:ascii="仿宋_GB2312" w:hAnsi="宋体" w:eastAsia="仿宋_GB2312" w:cs="宋体"/>
          <w:color w:val="000000"/>
          <w:kern w:val="0"/>
          <w:sz w:val="32"/>
          <w:szCs w:val="32"/>
        </w:rPr>
        <w:t>，基本</w:t>
      </w:r>
      <w:r>
        <w:rPr>
          <w:rFonts w:hint="eastAsia" w:ascii="仿宋_GB2312" w:hAnsi="宋体" w:eastAsia="仿宋_GB2312" w:cs="宋体"/>
          <w:color w:val="000000"/>
          <w:kern w:val="0"/>
          <w:sz w:val="32"/>
          <w:szCs w:val="32"/>
        </w:rPr>
        <w:t>支出1520.33</w:t>
      </w:r>
      <w:r>
        <w:rPr>
          <w:rFonts w:ascii="仿宋_GB2312" w:hAnsi="宋体" w:eastAsia="仿宋_GB2312" w:cs="宋体"/>
          <w:color w:val="000000"/>
          <w:kern w:val="0"/>
          <w:sz w:val="32"/>
          <w:szCs w:val="32"/>
        </w:rPr>
        <w:t>万元，</w:t>
      </w:r>
      <w:r>
        <w:rPr>
          <w:rFonts w:hint="eastAsia" w:ascii="仿宋_GB2312" w:hAnsi="宋体" w:eastAsia="仿宋_GB2312" w:cs="宋体"/>
          <w:color w:val="000000"/>
          <w:kern w:val="0"/>
          <w:sz w:val="32"/>
          <w:szCs w:val="32"/>
        </w:rPr>
        <w:t>项目支出31376.73</w:t>
      </w:r>
      <w:r>
        <w:rPr>
          <w:rFonts w:ascii="仿宋_GB2312" w:hAnsi="宋体" w:eastAsia="仿宋_GB2312" w:cs="宋体"/>
          <w:color w:val="000000"/>
          <w:kern w:val="0"/>
          <w:sz w:val="32"/>
          <w:szCs w:val="32"/>
        </w:rPr>
        <w:t>万元，其他支出</w:t>
      </w:r>
      <w:r>
        <w:rPr>
          <w:rFonts w:hint="eastAsia" w:ascii="仿宋_GB2312" w:hAnsi="宋体" w:eastAsia="仿宋_GB2312" w:cs="宋体"/>
          <w:color w:val="000000"/>
          <w:kern w:val="0"/>
          <w:sz w:val="32"/>
          <w:szCs w:val="32"/>
        </w:rPr>
        <w:t>0</w:t>
      </w:r>
      <w:r>
        <w:rPr>
          <w:rFonts w:ascii="仿宋_GB2312" w:hAnsi="宋体" w:eastAsia="仿宋_GB2312" w:cs="宋体"/>
          <w:color w:val="000000"/>
          <w:kern w:val="0"/>
          <w:sz w:val="32"/>
          <w:szCs w:val="32"/>
        </w:rPr>
        <w:t>万元</w:t>
      </w:r>
      <w:r>
        <w:rPr>
          <w:rFonts w:hint="eastAsia" w:ascii="仿宋_GB2312" w:hAnsi="宋体" w:eastAsia="仿宋_GB2312" w:cs="宋体"/>
          <w:color w:val="000000"/>
          <w:kern w:val="0"/>
          <w:sz w:val="32"/>
          <w:szCs w:val="32"/>
        </w:rPr>
        <w:t>。全年预算支出32897.05</w:t>
      </w:r>
      <w:r>
        <w:rPr>
          <w:rFonts w:ascii="仿宋_GB2312" w:hAnsi="宋体" w:eastAsia="仿宋_GB2312" w:cs="宋体"/>
          <w:color w:val="000000"/>
          <w:kern w:val="0"/>
          <w:sz w:val="32"/>
          <w:szCs w:val="32"/>
        </w:rPr>
        <w:t>万元，其中，基本支出</w:t>
      </w:r>
      <w:r>
        <w:rPr>
          <w:rFonts w:hint="eastAsia" w:ascii="仿宋_GB2312" w:hAnsi="宋体" w:eastAsia="仿宋_GB2312" w:cs="宋体"/>
          <w:color w:val="000000"/>
          <w:kern w:val="0"/>
          <w:sz w:val="32"/>
          <w:szCs w:val="32"/>
        </w:rPr>
        <w:t>1520.33</w:t>
      </w:r>
      <w:r>
        <w:rPr>
          <w:rFonts w:ascii="仿宋_GB2312" w:hAnsi="宋体" w:eastAsia="仿宋_GB2312" w:cs="宋体"/>
          <w:color w:val="000000"/>
          <w:kern w:val="0"/>
          <w:sz w:val="32"/>
          <w:szCs w:val="32"/>
        </w:rPr>
        <w:t>万元，项目</w:t>
      </w:r>
      <w:r>
        <w:rPr>
          <w:rFonts w:hint="eastAsia" w:ascii="仿宋_GB2312" w:hAnsi="宋体" w:eastAsia="仿宋_GB2312" w:cs="宋体"/>
          <w:color w:val="000000"/>
          <w:kern w:val="0"/>
          <w:sz w:val="32"/>
          <w:szCs w:val="32"/>
        </w:rPr>
        <w:t>支出31376.73</w:t>
      </w:r>
      <w:r>
        <w:rPr>
          <w:rFonts w:ascii="仿宋_GB2312" w:hAnsi="宋体" w:eastAsia="仿宋_GB2312" w:cs="宋体"/>
          <w:color w:val="000000"/>
          <w:kern w:val="0"/>
          <w:sz w:val="32"/>
          <w:szCs w:val="32"/>
        </w:rPr>
        <w:t>万元，其他支出</w:t>
      </w:r>
      <w:r>
        <w:rPr>
          <w:rFonts w:hint="eastAsia" w:ascii="仿宋_GB2312" w:hAnsi="宋体" w:eastAsia="仿宋_GB2312" w:cs="宋体"/>
          <w:color w:val="000000"/>
          <w:kern w:val="0"/>
          <w:sz w:val="32"/>
          <w:szCs w:val="32"/>
        </w:rPr>
        <w:t>0</w:t>
      </w:r>
      <w:r>
        <w:rPr>
          <w:rFonts w:ascii="仿宋_GB2312" w:hAnsi="宋体" w:eastAsia="仿宋_GB2312" w:cs="宋体"/>
          <w:color w:val="000000"/>
          <w:kern w:val="0"/>
          <w:sz w:val="32"/>
          <w:szCs w:val="32"/>
        </w:rPr>
        <w:t>万元。</w:t>
      </w:r>
      <w:r>
        <w:rPr>
          <w:rFonts w:hint="eastAsia" w:ascii="仿宋_GB2312" w:hAnsi="宋体" w:eastAsia="仿宋_GB2312" w:cs="宋体"/>
          <w:color w:val="000000"/>
          <w:kern w:val="0"/>
          <w:sz w:val="32"/>
          <w:szCs w:val="32"/>
        </w:rPr>
        <w:t>预算</w:t>
      </w:r>
      <w:r>
        <w:rPr>
          <w:rFonts w:ascii="仿宋_GB2312" w:hAnsi="宋体" w:eastAsia="仿宋_GB2312" w:cs="宋体"/>
          <w:color w:val="000000"/>
          <w:kern w:val="0"/>
          <w:sz w:val="32"/>
          <w:szCs w:val="32"/>
        </w:rPr>
        <w:t>执行率为</w:t>
      </w:r>
      <w:r>
        <w:rPr>
          <w:rFonts w:hint="eastAsia" w:ascii="仿宋_GB2312" w:hAnsi="宋体" w:eastAsia="仿宋_GB2312" w:cs="宋体"/>
          <w:color w:val="000000"/>
          <w:kern w:val="0"/>
          <w:sz w:val="32"/>
          <w:szCs w:val="32"/>
        </w:rPr>
        <w:t>100%。</w:t>
      </w:r>
    </w:p>
    <w:p>
      <w:pPr>
        <w:spacing w:line="600" w:lineRule="exact"/>
        <w:ind w:left="105" w:leftChars="50" w:firstLine="480" w:firstLineChars="150"/>
        <w:rPr>
          <w:rFonts w:ascii="黑体" w:hAnsi="黑体" w:eastAsia="黑体" w:cs="宋体"/>
          <w:color w:val="000000"/>
          <w:kern w:val="0"/>
          <w:sz w:val="32"/>
          <w:szCs w:val="32"/>
        </w:rPr>
      </w:pPr>
      <w:r>
        <w:rPr>
          <w:rFonts w:hint="eastAsia" w:ascii="黑体" w:hAnsi="黑体" w:eastAsia="黑体" w:cs="宋体"/>
          <w:color w:val="000000"/>
          <w:kern w:val="0"/>
          <w:sz w:val="32"/>
          <w:szCs w:val="32"/>
        </w:rPr>
        <w:t>三</w:t>
      </w:r>
      <w:r>
        <w:rPr>
          <w:rFonts w:ascii="黑体" w:hAnsi="黑体" w:eastAsia="黑体" w:cs="宋体"/>
          <w:color w:val="000000"/>
          <w:kern w:val="0"/>
          <w:sz w:val="32"/>
          <w:szCs w:val="32"/>
        </w:rPr>
        <w:t>、整体绩效目标实现情况</w:t>
      </w:r>
    </w:p>
    <w:p>
      <w:pPr>
        <w:spacing w:line="600" w:lineRule="exact"/>
        <w:ind w:left="105" w:leftChars="50" w:firstLine="482" w:firstLineChars="150"/>
        <w:rPr>
          <w:rFonts w:ascii="楷体_GB2312" w:eastAsia="楷体_GB2312"/>
          <w:b/>
          <w:bCs/>
          <w:sz w:val="32"/>
          <w:szCs w:val="32"/>
        </w:rPr>
      </w:pPr>
      <w:r>
        <w:rPr>
          <w:rFonts w:hint="eastAsia" w:ascii="楷体_GB2312" w:eastAsia="楷体_GB2312"/>
          <w:b/>
          <w:bCs/>
          <w:sz w:val="32"/>
          <w:szCs w:val="32"/>
        </w:rPr>
        <w:t>（一）产出完成情况分析</w:t>
      </w:r>
    </w:p>
    <w:p>
      <w:pPr>
        <w:adjustRightInd w:val="0"/>
        <w:snapToGrid w:val="0"/>
        <w:spacing w:line="560" w:lineRule="exact"/>
        <w:ind w:firstLine="643" w:firstLineChars="200"/>
        <w:rPr>
          <w:rFonts w:hAnsi="仿宋_GB2312" w:eastAsia="仿宋_GB2312"/>
          <w:b/>
          <w:bCs/>
          <w:sz w:val="32"/>
          <w:szCs w:val="32"/>
        </w:rPr>
      </w:pPr>
      <w:r>
        <w:rPr>
          <w:rFonts w:hint="eastAsia" w:hAnsi="仿宋_GB2312" w:eastAsia="仿宋_GB2312"/>
          <w:b/>
          <w:bCs/>
          <w:sz w:val="32"/>
          <w:szCs w:val="32"/>
        </w:rPr>
        <w:t>1.产出数量</w:t>
      </w:r>
    </w:p>
    <w:p>
      <w:pPr>
        <w:pStyle w:val="6"/>
        <w:spacing w:line="560" w:lineRule="exact"/>
        <w:ind w:firstLine="640"/>
        <w:rPr>
          <w:rFonts w:ascii="Times New Roman" w:hAnsi="Times New Roman"/>
          <w:sz w:val="32"/>
          <w:szCs w:val="32"/>
        </w:rPr>
      </w:pPr>
      <w:r>
        <w:rPr>
          <w:rFonts w:hint="eastAsia" w:ascii="Times New Roman" w:hAnsi="仿宋_GB2312"/>
          <w:sz w:val="32"/>
          <w:szCs w:val="32"/>
        </w:rPr>
        <w:t>（1）发挥市、区政策联动效应。</w:t>
      </w:r>
      <w:r>
        <w:rPr>
          <w:rFonts w:hint="eastAsia" w:ascii="Times New Roman" w:hAnsi="Times New Roman"/>
          <w:sz w:val="32"/>
        </w:rPr>
        <w:t>构建包括</w:t>
      </w:r>
      <w:r>
        <w:rPr>
          <w:rFonts w:ascii="Times New Roman" w:hAnsi="Times New Roman"/>
          <w:sz w:val="32"/>
          <w:szCs w:val="32"/>
        </w:rPr>
        <w:t>高新技术</w:t>
      </w:r>
      <w:r>
        <w:rPr>
          <w:rFonts w:hint="eastAsia" w:ascii="Times New Roman" w:hAnsi="Times New Roman"/>
          <w:sz w:val="32"/>
          <w:szCs w:val="32"/>
        </w:rPr>
        <w:t>、</w:t>
      </w:r>
      <w:r>
        <w:rPr>
          <w:rFonts w:ascii="Times New Roman" w:hAnsi="Times New Roman"/>
          <w:sz w:val="32"/>
          <w:szCs w:val="32"/>
        </w:rPr>
        <w:t>中小企业</w:t>
      </w:r>
      <w:r>
        <w:rPr>
          <w:rFonts w:hint="eastAsia" w:ascii="Times New Roman" w:hAnsi="Times New Roman"/>
          <w:sz w:val="32"/>
          <w:szCs w:val="32"/>
        </w:rPr>
        <w:t>及互联网3.0等细分产业在内的“1+1+N”科技创新政策支持体系</w:t>
      </w:r>
      <w:r>
        <w:rPr>
          <w:rFonts w:hint="eastAsia" w:ascii="Times New Roman" w:hAnsi="Times New Roman"/>
          <w:sz w:val="32"/>
        </w:rPr>
        <w:t>强化对产业链、创新链全环节政策覆盖，共支持项目202个，安排支持资金1.18亿元。</w:t>
      </w:r>
      <w:r>
        <w:rPr>
          <w:rFonts w:hint="eastAsia" w:ascii="Times New Roman" w:hAnsi="Times New Roman"/>
          <w:sz w:val="32"/>
          <w:szCs w:val="32"/>
        </w:rPr>
        <w:t>推动中关村新一轮先行先试改革措施在朝阳园推广落地。</w:t>
      </w:r>
      <w:r>
        <w:rPr>
          <w:rFonts w:ascii="Times New Roman" w:hAnsi="Times New Roman"/>
          <w:color w:val="000000" w:themeColor="text1"/>
          <w:sz w:val="32"/>
          <w:szCs w:val="32"/>
        </w:rPr>
        <w:t>联合市级主管部门印发《朝阳区互联网3.0创新发展三年行动计划（2023年-2025年）》，出台专项支持政策，组建国内首个互联网3.0应用场景研究院。</w:t>
      </w:r>
    </w:p>
    <w:p>
      <w:pPr>
        <w:pStyle w:val="6"/>
        <w:spacing w:line="560" w:lineRule="exact"/>
        <w:ind w:firstLine="640"/>
        <w:jc w:val="left"/>
        <w:rPr>
          <w:rFonts w:ascii="Times New Roman" w:hAnsi="Times New Roman" w:cs="仿宋_GB2312"/>
          <w:color w:val="000000" w:themeColor="text1"/>
          <w:sz w:val="32"/>
          <w:szCs w:val="32"/>
        </w:rPr>
      </w:pPr>
      <w:r>
        <w:rPr>
          <w:rFonts w:hint="eastAsia"/>
          <w:color w:val="000000" w:themeColor="text1"/>
          <w:sz w:val="32"/>
          <w:szCs w:val="32"/>
        </w:rPr>
        <w:t>（2）</w:t>
      </w:r>
      <w:r>
        <w:rPr>
          <w:rFonts w:hint="eastAsia" w:ascii="Times New Roman" w:hAnsi="Times New Roman"/>
          <w:color w:val="000000" w:themeColor="text1"/>
          <w:sz w:val="32"/>
          <w:szCs w:val="32"/>
        </w:rPr>
        <w:t>突出主导产业集群建设优势。构建产业互联网集聚态势。加强与中国工业互联网研究院合作，揭牌启用中国工业互联网研究院科研楼，共建工业互联网产业园，启动北京市工业软件产业创新中心建设，壮大区域工业软件产业集群。加强与阿里、抖音、美团、58等头部互联网平台企业的合作共建</w:t>
      </w:r>
      <w:r>
        <w:rPr>
          <w:rFonts w:ascii="Times New Roman" w:hAnsi="Times New Roman"/>
          <w:color w:val="000000" w:themeColor="text1"/>
          <w:sz w:val="32"/>
          <w:szCs w:val="32"/>
        </w:rPr>
        <w:t>。</w:t>
      </w:r>
      <w:r>
        <w:rPr>
          <w:rFonts w:hint="eastAsia" w:ascii="Times New Roman" w:hAnsi="Times New Roman"/>
          <w:color w:val="000000" w:themeColor="text1"/>
          <w:sz w:val="32"/>
          <w:szCs w:val="32"/>
        </w:rPr>
        <w:t>构建以场景建设牵引技术创新的人工智能产业发展模式，联合中关村智用研究院</w:t>
      </w:r>
      <w:r>
        <w:rPr>
          <w:rFonts w:hint="eastAsia" w:ascii="Times New Roman" w:hAnsi="Times New Roman" w:cs="仿宋_GB2312"/>
          <w:sz w:val="32"/>
          <w:szCs w:val="32"/>
        </w:rPr>
        <w:t>等机构共同发起成立智量未来创新联合体，完成人工智能技术货架1</w:t>
      </w:r>
      <w:r>
        <w:rPr>
          <w:rFonts w:ascii="Times New Roman" w:hAnsi="Times New Roman" w:cs="仿宋_GB2312"/>
          <w:sz w:val="32"/>
          <w:szCs w:val="32"/>
        </w:rPr>
        <w:t>.0</w:t>
      </w:r>
      <w:r>
        <w:rPr>
          <w:rFonts w:hint="eastAsia" w:ascii="Times New Roman" w:hAnsi="Times New Roman" w:cs="仿宋_GB2312"/>
          <w:sz w:val="32"/>
          <w:szCs w:val="32"/>
        </w:rPr>
        <w:t>版本</w:t>
      </w:r>
      <w:r>
        <w:rPr>
          <w:rFonts w:hint="eastAsia" w:ascii="Times New Roman" w:hAnsi="Times New Roman"/>
          <w:color w:val="000000" w:themeColor="text1"/>
          <w:sz w:val="32"/>
          <w:szCs w:val="32"/>
        </w:rPr>
        <w:t>，在朝阳区首发和示范试点智能技术企业通用评测体系，已</w:t>
      </w:r>
      <w:r>
        <w:rPr>
          <w:rFonts w:hint="eastAsia" w:ascii="Times New Roman" w:hAnsi="Times New Roman"/>
          <w:color w:val="000000" w:themeColor="text1"/>
          <w:sz w:val="32"/>
        </w:rPr>
        <w:t>完成100余家企业评级。</w:t>
      </w:r>
      <w:r>
        <w:rPr>
          <w:rFonts w:hint="eastAsia" w:ascii="Times New Roman" w:hAnsi="Times New Roman"/>
          <w:color w:val="000000" w:themeColor="text1"/>
          <w:sz w:val="32"/>
          <w:szCs w:val="32"/>
        </w:rPr>
        <w:t>引入安全生产、交通、能源等行业场景资源；建设智慧城市创新实验室，开展“小切口”落地实验，推动人工智能技术落地应用。建设人工智能产业集聚区，联合第四范式组建人工智能产业基金。</w:t>
      </w:r>
      <w:r>
        <w:rPr>
          <w:color w:val="000000" w:themeColor="text1"/>
          <w:sz w:val="32"/>
          <w:szCs w:val="32"/>
        </w:rPr>
        <w:t>打造数字安全产业新优势。</w:t>
      </w:r>
      <w:r>
        <w:rPr>
          <w:rFonts w:hint="eastAsia" w:ascii="Times New Roman" w:hAnsi="Times New Roman"/>
          <w:color w:val="000000" w:themeColor="text1"/>
          <w:sz w:val="32"/>
          <w:szCs w:val="32"/>
        </w:rPr>
        <w:t>发挥360行业龙头引领作用，持续推动大数据协同安全技术国家工程研究中心</w:t>
      </w:r>
      <w:r>
        <w:rPr>
          <w:rFonts w:hint="eastAsia" w:ascii="Times New Roman" w:hAnsi="Times New Roman" w:cs="仿宋_GB2312"/>
          <w:sz w:val="32"/>
          <w:szCs w:val="32"/>
        </w:rPr>
        <w:t>大数据安全科研平台建设，360智脑通用大模型通过4+级别模型开发、模型能力验证</w:t>
      </w:r>
      <w:r>
        <w:rPr>
          <w:rFonts w:ascii="Times New Roman" w:hAnsi="Times New Roman" w:cs="仿宋_GB2312"/>
          <w:color w:val="000000" w:themeColor="text1"/>
          <w:sz w:val="32"/>
          <w:szCs w:val="32"/>
        </w:rPr>
        <w:t>，发布全市首个新型网络安全保险产品，成为新型网络安全保险模式朝阳区首个试点成果。</w:t>
      </w:r>
    </w:p>
    <w:p>
      <w:pPr>
        <w:pStyle w:val="6"/>
        <w:spacing w:line="560" w:lineRule="exact"/>
        <w:ind w:firstLine="640"/>
        <w:rPr>
          <w:rFonts w:ascii="Times New Roman" w:hAnsi="Times New Roman"/>
          <w:bCs/>
          <w:color w:val="000000" w:themeColor="text1"/>
          <w:sz w:val="32"/>
          <w:szCs w:val="32"/>
        </w:rPr>
      </w:pPr>
      <w:r>
        <w:rPr>
          <w:rFonts w:hint="eastAsia"/>
          <w:color w:val="000000" w:themeColor="text1"/>
          <w:sz w:val="32"/>
          <w:szCs w:val="32"/>
        </w:rPr>
        <w:t>（3）</w:t>
      </w:r>
      <w:r>
        <w:rPr>
          <w:rFonts w:ascii="Times New Roman" w:hAnsi="Times New Roman"/>
          <w:color w:val="000000" w:themeColor="text1"/>
          <w:sz w:val="32"/>
          <w:szCs w:val="32"/>
        </w:rPr>
        <w:t>前沿技术产业集群不断壮大</w:t>
      </w:r>
      <w:r>
        <w:rPr>
          <w:rFonts w:hint="eastAsia" w:ascii="Times New Roman" w:hAnsi="Times New Roman"/>
          <w:color w:val="000000" w:themeColor="text1"/>
          <w:sz w:val="32"/>
          <w:szCs w:val="32"/>
        </w:rPr>
        <w:t>。</w:t>
      </w:r>
      <w:r>
        <w:rPr>
          <w:rFonts w:ascii="Times New Roman" w:hAnsi="Times New Roman"/>
          <w:bCs/>
          <w:color w:val="000000" w:themeColor="text1"/>
          <w:sz w:val="32"/>
          <w:szCs w:val="32"/>
        </w:rPr>
        <w:t>电子城IC/PIC创新中心</w:t>
      </w:r>
      <w:r>
        <w:rPr>
          <w:rFonts w:hint="eastAsia" w:ascii="Times New Roman" w:hAnsi="Times New Roman" w:cs="仿宋_GB2312"/>
          <w:sz w:val="32"/>
          <w:szCs w:val="32"/>
        </w:rPr>
        <w:t>建成“一孵化三中心一平台一服务”产业服务体系，</w:t>
      </w:r>
      <w:r>
        <w:rPr>
          <w:rFonts w:ascii="Times New Roman" w:hAnsi="Times New Roman"/>
          <w:bCs/>
          <w:color w:val="000000" w:themeColor="text1"/>
          <w:sz w:val="32"/>
          <w:szCs w:val="32"/>
        </w:rPr>
        <w:t>光子集成电路产业集聚规模初显。完成光电芯片封测验证平台一期建设，落地电子城集成电路研发服务平台、中关村光电子产业联盟</w:t>
      </w:r>
      <w:r>
        <w:rPr>
          <w:rFonts w:hint="eastAsia" w:ascii="Times New Roman" w:hAnsi="Times New Roman"/>
          <w:bCs/>
          <w:color w:val="000000" w:themeColor="text1"/>
          <w:sz w:val="32"/>
          <w:szCs w:val="32"/>
        </w:rPr>
        <w:t>，汇聚了40余家集成电路产业上下游企业，形成以集成电路设计为主导，光子集成为特色的产业集聚</w:t>
      </w:r>
      <w:r>
        <w:rPr>
          <w:rFonts w:ascii="Times New Roman" w:hAnsi="Times New Roman"/>
          <w:bCs/>
          <w:color w:val="000000" w:themeColor="text1"/>
          <w:sz w:val="32"/>
          <w:szCs w:val="32"/>
        </w:rPr>
        <w:t>。推进数字医疗国际创新中心、中医药大学“北京数智中医药谷”项目，推动公共服务、关键技术和产业孵化三大平台建设，与惠每医疗联合主办第7届妙佑医疗国际医疗峰会暨高瓴HCare全球健康产业峰会</w:t>
      </w:r>
      <w:r>
        <w:rPr>
          <w:rFonts w:hint="eastAsia" w:ascii="Times New Roman" w:hAnsi="Times New Roman"/>
          <w:bCs/>
          <w:color w:val="000000" w:themeColor="text1"/>
          <w:sz w:val="32"/>
          <w:szCs w:val="32"/>
        </w:rPr>
        <w:t>，</w:t>
      </w:r>
      <w:r>
        <w:rPr>
          <w:rFonts w:ascii="Times New Roman" w:hAnsi="Times New Roman"/>
          <w:bCs/>
          <w:color w:val="000000" w:themeColor="text1"/>
          <w:sz w:val="32"/>
          <w:szCs w:val="32"/>
        </w:rPr>
        <w:t>形成“一南一北多组团”的医药健康产业布局。持续推进中关村朝阳园国家地理信息服务出口基地建设，</w:t>
      </w:r>
      <w:r>
        <w:rPr>
          <w:rFonts w:hint="eastAsia" w:ascii="Times New Roman" w:hAnsi="Times New Roman"/>
          <w:bCs/>
          <w:color w:val="000000" w:themeColor="text1"/>
          <w:sz w:val="32"/>
          <w:szCs w:val="32"/>
        </w:rPr>
        <w:t>领军企业</w:t>
      </w:r>
      <w:r>
        <w:rPr>
          <w:rFonts w:ascii="Times New Roman" w:hAnsi="Times New Roman"/>
          <w:bCs/>
          <w:color w:val="000000" w:themeColor="text1"/>
          <w:sz w:val="32"/>
          <w:szCs w:val="32"/>
        </w:rPr>
        <w:t>超图软件发布最新版本SuperMap GIS 2023，有望成为国内地理空间信息技术发展里程碑</w:t>
      </w:r>
      <w:r>
        <w:rPr>
          <w:rFonts w:hint="eastAsia" w:ascii="Times New Roman" w:hAnsi="Times New Roman"/>
          <w:bCs/>
          <w:color w:val="000000" w:themeColor="text1"/>
          <w:sz w:val="32"/>
          <w:szCs w:val="32"/>
        </w:rPr>
        <w:t>，上半年企业营收实现亚洲第一。</w:t>
      </w:r>
    </w:p>
    <w:p>
      <w:pPr>
        <w:spacing w:line="560" w:lineRule="exact"/>
        <w:ind w:left="105" w:leftChars="50" w:firstLine="640" w:firstLineChars="200"/>
        <w:rPr>
          <w:rFonts w:eastAsia="仿宋_GB2312"/>
          <w:color w:val="000000" w:themeColor="text1"/>
          <w:spacing w:val="-6"/>
          <w:sz w:val="32"/>
          <w:szCs w:val="32"/>
        </w:rPr>
      </w:pPr>
      <w:r>
        <w:rPr>
          <w:rFonts w:hint="eastAsia" w:eastAsia="仿宋_GB2312"/>
          <w:color w:val="000000" w:themeColor="text1"/>
          <w:sz w:val="32"/>
          <w:szCs w:val="32"/>
        </w:rPr>
        <w:t>（</w:t>
      </w:r>
      <w:r>
        <w:rPr>
          <w:rFonts w:hint="eastAsia"/>
          <w:color w:val="000000" w:themeColor="text1"/>
          <w:sz w:val="32"/>
          <w:szCs w:val="32"/>
        </w:rPr>
        <w:t>4</w:t>
      </w:r>
      <w:r>
        <w:rPr>
          <w:rFonts w:hint="eastAsia" w:eastAsia="仿宋_GB2312"/>
          <w:color w:val="000000" w:themeColor="text1"/>
          <w:sz w:val="32"/>
          <w:szCs w:val="32"/>
        </w:rPr>
        <w:t>）</w:t>
      </w:r>
      <w:r>
        <w:rPr>
          <w:rFonts w:eastAsia="仿宋_GB2312"/>
          <w:color w:val="000000" w:themeColor="text1"/>
          <w:sz w:val="32"/>
          <w:szCs w:val="32"/>
        </w:rPr>
        <w:t>数字经济发展底座</w:t>
      </w:r>
      <w:r>
        <w:rPr>
          <w:rFonts w:hint="eastAsia" w:eastAsia="仿宋_GB2312"/>
          <w:color w:val="000000" w:themeColor="text1"/>
          <w:sz w:val="32"/>
          <w:szCs w:val="32"/>
        </w:rPr>
        <w:t>持续</w:t>
      </w:r>
      <w:r>
        <w:rPr>
          <w:rFonts w:eastAsia="仿宋_GB2312"/>
          <w:color w:val="000000" w:themeColor="text1"/>
          <w:sz w:val="32"/>
          <w:szCs w:val="32"/>
        </w:rPr>
        <w:t>夯实。</w:t>
      </w:r>
      <w:r>
        <w:rPr>
          <w:rFonts w:hint="eastAsia" w:eastAsia="仿宋_GB2312"/>
          <w:color w:val="000000" w:themeColor="text1"/>
          <w:sz w:val="32"/>
          <w:szCs w:val="32"/>
        </w:rPr>
        <w:t>加快建设</w:t>
      </w:r>
      <w:r>
        <w:rPr>
          <w:rFonts w:eastAsia="仿宋_GB2312"/>
          <w:color w:val="000000" w:themeColor="text1"/>
          <w:sz w:val="32"/>
          <w:szCs w:val="32"/>
        </w:rPr>
        <w:t>北京数字经济算力中心，</w:t>
      </w:r>
      <w:r>
        <w:rPr>
          <w:rFonts w:hint="eastAsia" w:eastAsia="仿宋_GB2312"/>
          <w:color w:val="000000" w:themeColor="text1"/>
          <w:sz w:val="32"/>
          <w:szCs w:val="32"/>
        </w:rPr>
        <w:t>预计2023年底实现开工。积极落实京蒙协作“倍增计划”，设立北京数道智算科技有限公司，共建京蒙合作人工智能算力中心项目</w:t>
      </w:r>
      <w:r>
        <w:rPr>
          <w:rFonts w:eastAsia="仿宋_GB2312"/>
          <w:color w:val="000000" w:themeColor="text1"/>
          <w:sz w:val="32"/>
          <w:szCs w:val="32"/>
        </w:rPr>
        <w:t>。</w:t>
      </w:r>
      <w:r>
        <w:rPr>
          <w:rFonts w:eastAsia="仿宋_GB2312"/>
          <w:color w:val="000000" w:themeColor="text1"/>
          <w:kern w:val="0"/>
          <w:sz w:val="32"/>
          <w:szCs w:val="32"/>
        </w:rPr>
        <w:t>支持华为技术有限公司、北京鲲鹏联合创新中心联合发布朝阳区信创适配攻关基地，完成56个鲲鹏适配测试认证方案</w:t>
      </w:r>
      <w:r>
        <w:rPr>
          <w:rFonts w:hint="eastAsia" w:eastAsia="仿宋_GB2312"/>
          <w:color w:val="000000" w:themeColor="text1"/>
          <w:kern w:val="0"/>
          <w:sz w:val="32"/>
          <w:szCs w:val="32"/>
        </w:rPr>
        <w:t>，力争打造成为北京领先的信创攻关适配工程样板。</w:t>
      </w:r>
      <w:r>
        <w:rPr>
          <w:rFonts w:hint="eastAsia" w:eastAsia="仿宋_GB2312"/>
          <w:color w:val="000000" w:themeColor="text1"/>
          <w:sz w:val="32"/>
          <w:szCs w:val="32"/>
        </w:rPr>
        <w:t>加速培育数据市场。</w:t>
      </w:r>
      <w:r>
        <w:rPr>
          <w:rFonts w:eastAsia="仿宋_GB2312"/>
          <w:color w:val="000000" w:themeColor="text1"/>
          <w:spacing w:val="-6"/>
          <w:sz w:val="32"/>
          <w:szCs w:val="32"/>
        </w:rPr>
        <w:t>北京国际大数据交易所</w:t>
      </w:r>
      <w:r>
        <w:rPr>
          <w:rFonts w:hint="eastAsia" w:eastAsia="仿宋_GB2312"/>
          <w:color w:val="000000" w:themeColor="text1"/>
          <w:spacing w:val="-6"/>
          <w:sz w:val="32"/>
          <w:szCs w:val="32"/>
        </w:rPr>
        <w:t>正式挂牌，建设全国首个工业数据资产登记确权平台，登记全国医药行业首个数据资产权证，设立全国首个数据资产交易中心、首个服务跨境场景的数据托管服务平台，</w:t>
      </w:r>
      <w:r>
        <w:rPr>
          <w:rFonts w:eastAsia="仿宋_GB2312"/>
          <w:color w:val="000000" w:themeColor="text1"/>
          <w:spacing w:val="-6"/>
          <w:sz w:val="32"/>
          <w:szCs w:val="32"/>
        </w:rPr>
        <w:t>全国首个个人信息出境标准合同备案获批，首次实现了北京市与香港特别行政区间征信数据的合规出境。</w:t>
      </w:r>
    </w:p>
    <w:p>
      <w:pPr>
        <w:pStyle w:val="6"/>
        <w:spacing w:line="560" w:lineRule="exact"/>
        <w:ind w:firstLine="640"/>
      </w:pPr>
      <w:r>
        <w:rPr>
          <w:rFonts w:hint="eastAsia" w:ascii="仿宋_GB2312" w:hAnsi="宋体" w:cs="宋体"/>
          <w:color w:val="000000"/>
          <w:kern w:val="0"/>
          <w:sz w:val="32"/>
          <w:szCs w:val="32"/>
        </w:rPr>
        <w:t>（5）</w:t>
      </w:r>
      <w:r>
        <w:rPr>
          <w:rFonts w:ascii="仿宋_GB2312" w:hAnsi="宋体" w:cs="宋体"/>
          <w:color w:val="000000"/>
          <w:kern w:val="0"/>
          <w:sz w:val="32"/>
          <w:szCs w:val="32"/>
        </w:rPr>
        <w:t>抓好组织建设，提升队伍凝聚力</w:t>
      </w:r>
      <w:r>
        <w:rPr>
          <w:rFonts w:hint="eastAsia" w:ascii="仿宋_GB2312" w:hAnsi="宋体" w:cs="宋体"/>
          <w:color w:val="000000"/>
          <w:kern w:val="0"/>
          <w:sz w:val="32"/>
          <w:szCs w:val="32"/>
        </w:rPr>
        <w:t>。打造高素质干部队伍。完成机构改革相关工作，做好区科技创新体系建设领导小组的调整，朝阳园管委会与区科信局合署办公及干部人员调整，事业单位机构改革、人员转隶、岗位设置及岗位聘用工作。分阶段、有步骤做好干部队伍建设工作，选拔任用机关正科职干部4人，事业单位管理岗位聘任4人；机关干部职级晋升7人，事业单位干部职员等级晋升6人；机关、事业单位新录用干部7人，通过转任、转隶调入干部7人。加强干部交流培养和挂职锻炼，选派年轻干部参与中关村论坛、服贸会等重大活动服务保障，推动干部横向交流，外派挂职干部3人，挂职期满干部2人，接收挂职干部7人。做好干部教育培训工作，制定2023年理论中心组学习计划，每月开展理论中心组学习，结合主题教育理论学习要求，围绕党的二十大精神、“五宜”朝阳建设、“四下基层”等开展专题研讨；组织干部参加市、区各类主体班、专题班36人次；选派优秀干部外出学习考察，今年以来选派50余人次赴上海、杭州、福州、合肥等地交流学习。</w:t>
      </w:r>
    </w:p>
    <w:p>
      <w:pPr>
        <w:spacing w:line="560" w:lineRule="exact"/>
        <w:ind w:firstLine="640" w:firstLineChars="200"/>
        <w:rPr>
          <w:rFonts w:ascii="仿宋_GB2312" w:hAnsi="宋体" w:eastAsia="仿宋_GB2312" w:cs="宋体"/>
          <w:color w:val="000000"/>
          <w:kern w:val="0"/>
          <w:sz w:val="32"/>
          <w:szCs w:val="32"/>
        </w:rPr>
      </w:pPr>
      <w:r>
        <w:rPr>
          <w:rFonts w:hint="eastAsia" w:ascii="仿宋_GB2312" w:hAnsi="宋体" w:cs="宋体"/>
          <w:color w:val="000000"/>
          <w:kern w:val="0"/>
          <w:sz w:val="32"/>
          <w:szCs w:val="32"/>
        </w:rPr>
        <w:t>（6）</w:t>
      </w:r>
      <w:r>
        <w:rPr>
          <w:rFonts w:hint="eastAsia" w:ascii="仿宋_GB2312" w:hAnsi="宋体" w:eastAsia="仿宋_GB2312" w:cs="宋体"/>
          <w:color w:val="000000"/>
          <w:kern w:val="0"/>
          <w:sz w:val="32"/>
          <w:szCs w:val="32"/>
        </w:rPr>
        <w:t>持续推进园区大党建格局。提升园区重点企业“两个覆盖”质量，全年共指导成立非公企业党组织8家、非公企业纪委1家。加大两新领域党员发展力度，全年共吸收预备党员71名，预备党员转正60名，培养积极分子150名。扩大工会组织基础，朝阳园总工会新增建会企业2家，创建“职工之家”3家，“暖心驿站”5家，新增会员1500人。</w:t>
      </w:r>
    </w:p>
    <w:p>
      <w:pPr>
        <w:spacing w:line="560" w:lineRule="exact"/>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（7）2023年共提供政务专网专线863条，金财网专线366条，社区（村）光纤488条，全年使用情况良好，符合项目初始绩效目标。</w:t>
      </w:r>
    </w:p>
    <w:p>
      <w:pPr>
        <w:spacing w:line="560" w:lineRule="exact"/>
        <w:ind w:left="105" w:leftChars="50" w:firstLine="643" w:firstLineChars="200"/>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2.产出质量</w:t>
      </w:r>
    </w:p>
    <w:p>
      <w:pPr>
        <w:pStyle w:val="6"/>
        <w:keepNext w:val="0"/>
        <w:keepLines w:val="0"/>
        <w:pageBreakBefore w:val="0"/>
        <w:widowControl w:val="0"/>
        <w:kinsoku/>
        <w:wordWrap/>
        <w:overflowPunct/>
        <w:topLinePunct w:val="0"/>
        <w:autoSpaceDE/>
        <w:autoSpaceDN/>
        <w:bidi w:val="0"/>
        <w:ind w:firstLine="640"/>
        <w:textAlignment w:val="auto"/>
        <w:rPr>
          <w:rFonts w:ascii="仿宋_GB2312" w:hAnsi="宋体" w:eastAsia="仿宋_GB2312" w:cs="宋体"/>
          <w:color w:val="000000"/>
          <w:kern w:val="0"/>
          <w:sz w:val="32"/>
          <w:szCs w:val="32"/>
        </w:rPr>
      </w:pPr>
      <w:r>
        <w:rPr>
          <w:rFonts w:ascii="仿宋_GB2312"/>
          <w:color w:val="000000"/>
          <w:sz w:val="32"/>
          <w:szCs w:val="32"/>
        </w:rPr>
        <w:t>通过各项工作开展</w:t>
      </w:r>
      <w:r>
        <w:rPr>
          <w:rFonts w:hint="eastAsia" w:ascii="仿宋_GB2312"/>
          <w:color w:val="000000"/>
          <w:sz w:val="32"/>
          <w:szCs w:val="32"/>
        </w:rPr>
        <w:t>，</w:t>
      </w:r>
      <w:r>
        <w:rPr>
          <w:rFonts w:ascii="仿宋_GB2312"/>
          <w:color w:val="000000"/>
          <w:sz w:val="32"/>
          <w:szCs w:val="32"/>
        </w:rPr>
        <w:t>园区</w:t>
      </w:r>
      <w:r>
        <w:rPr>
          <w:rFonts w:hint="eastAsia" w:ascii="仿宋_GB2312"/>
          <w:color w:val="000000"/>
          <w:sz w:val="32"/>
          <w:szCs w:val="32"/>
        </w:rPr>
        <w:t>发展取得巨大成就。2023年园区选树先进典型，发挥榜样力量，4名园区企业科技工作者荣获首都劳动奖章。3名园区企业职工当选朝阳群众优秀榜样。超图软件公司党委等5家党组织的创新做法入选全市“党建强、发展强”党建品牌项目。柏睿数据党支部和优品三悦党支部获评全市非公企业党组织奖励经费支持对象。</w:t>
      </w:r>
      <w:r>
        <w:rPr>
          <w:rFonts w:ascii="Times New Roman" w:hAnsi="Times New Roman"/>
          <w:color w:val="000000"/>
          <w:sz w:val="32"/>
          <w:szCs w:val="32"/>
        </w:rPr>
        <w:t>落地</w:t>
      </w:r>
      <w:r>
        <w:rPr>
          <w:rFonts w:hint="eastAsia" w:ascii="Times New Roman" w:hAnsi="Times New Roman"/>
          <w:color w:val="000000"/>
          <w:sz w:val="32"/>
          <w:szCs w:val="32"/>
        </w:rPr>
        <w:t>全国</w:t>
      </w:r>
      <w:r>
        <w:rPr>
          <w:rFonts w:ascii="Times New Roman" w:hAnsi="Times New Roman"/>
          <w:color w:val="000000"/>
          <w:sz w:val="32"/>
          <w:szCs w:val="32"/>
        </w:rPr>
        <w:t>首个国际科技组织总部集聚区，首批8家国际科技组织入驻</w:t>
      </w:r>
      <w:r>
        <w:rPr>
          <w:rFonts w:hint="eastAsia" w:ascii="Times New Roman" w:hAnsi="Times New Roman"/>
          <w:color w:val="000000"/>
          <w:sz w:val="32"/>
          <w:szCs w:val="32"/>
        </w:rPr>
        <w:t>。落地建设全市首个“中关村社区·数字产业创新中心”，入驻数字经济相关企业32家。全区16家企业被认定为北京市外资研发中心，占全市比重达到22%。高水平承办2023年全球数字经济大会，投入场地及服务保障费用937万元，投入服务保障人员超3145人次互联网3.0产业已形成全市标杆。组建国内首个互联网3.0应用场景研究院。全市首家中关村互联网3.0产业园在星地中心正式落成，推出业内首个XR产业加速器，落地网易（北京）数字产业中心。加快北京数字人基地建设，组建全市首支数字人AI基金，上线全国首个数字人资产存证平台，搭建光场采集、动作捕捉、XR虚实互动创新应用平台等共性技术平台，服务产业创新发展。第一批重大应用场景“揭榜挂帅”共匹配场景135家，建设完成工体元宇宙、泡泡码特城市乐园、凤凰元宇宙等一批示范应用场景，新工体上线全球首个“元宇宙就绪的5G超级网络”、打造全球首个特大型数实融合MaaS（元宇宙即服务）平台。共引进北天极采、讯众通信、运通数字、言己城科技等企业61家，全区互联网3.0产业企业超600家，互联网3.0形成领跑全市的优势。高水平组织2023年中关村论坛世界领先科技园区发展论坛、科博会朝阳区展览展示活动、未来科学论坛等活动。抖音、华琨振宇、艺旗集团北京总部等一批重大项目落地达产。同时统筹做好园区安全生产工作，园区重点项目全年安全无事故。政务专网专线、金财网、社</w:t>
      </w:r>
      <w:r>
        <w:rPr>
          <w:rFonts w:hint="eastAsia" w:ascii="Times New Roman" w:hAnsi="Times New Roman"/>
          <w:sz w:val="32"/>
          <w:szCs w:val="32"/>
        </w:rPr>
        <w:t>区（村）专线全年运行统计均符合线路质量要求。其中48条专线，因线路故障不符合要求的专线，已按照合同中相关条款扣除其相关费用。</w:t>
      </w:r>
    </w:p>
    <w:p>
      <w:pPr>
        <w:keepNext w:val="0"/>
        <w:keepLines w:val="0"/>
        <w:pageBreakBefore w:val="0"/>
        <w:widowControl w:val="0"/>
        <w:kinsoku/>
        <w:wordWrap/>
        <w:overflowPunct/>
        <w:topLinePunct w:val="0"/>
        <w:autoSpaceDE/>
        <w:autoSpaceDN/>
        <w:bidi w:val="0"/>
        <w:spacing w:line="560" w:lineRule="exact"/>
        <w:ind w:left="105" w:leftChars="50" w:firstLine="643" w:firstLineChars="200"/>
        <w:textAlignment w:val="auto"/>
        <w:rPr>
          <w:rFonts w:hint="eastAsia" w:ascii="仿宋_GB2312" w:hAnsi="宋体" w:eastAsia="仿宋_GB2312" w:cs="宋体"/>
          <w:b/>
          <w:bCs/>
          <w:color w:val="000000"/>
          <w:kern w:val="0"/>
          <w:sz w:val="32"/>
          <w:szCs w:val="32"/>
          <w:lang w:val="en-US" w:eastAsia="zh-CN"/>
        </w:rPr>
      </w:pPr>
      <w:r>
        <w:rPr>
          <w:rFonts w:hint="eastAsia" w:ascii="仿宋_GB2312" w:hAnsi="宋体" w:eastAsia="仿宋_GB2312" w:cs="宋体"/>
          <w:b/>
          <w:bCs/>
          <w:color w:val="000000"/>
          <w:kern w:val="0"/>
          <w:sz w:val="32"/>
          <w:szCs w:val="32"/>
          <w:lang w:val="en-US" w:eastAsia="zh-CN"/>
        </w:rPr>
        <w:t>3.产出进度</w:t>
      </w:r>
    </w:p>
    <w:p>
      <w:pPr>
        <w:keepNext w:val="0"/>
        <w:keepLines w:val="0"/>
        <w:pageBreakBefore w:val="0"/>
        <w:widowControl w:val="0"/>
        <w:kinsoku/>
        <w:wordWrap/>
        <w:overflowPunct/>
        <w:topLinePunct w:val="0"/>
        <w:autoSpaceDE/>
        <w:autoSpaceDN/>
        <w:bidi w:val="0"/>
        <w:spacing w:line="600" w:lineRule="exact"/>
        <w:ind w:left="105" w:leftChars="50" w:firstLine="640" w:firstLineChars="200"/>
        <w:textAlignment w:val="auto"/>
        <w:rPr>
          <w:rFonts w:hint="eastAsia" w:ascii="仿宋_GB2312" w:hAnsi="宋体" w:eastAsia="仿宋_GB2312" w:cs="宋体"/>
          <w:b/>
          <w:bCs/>
          <w:color w:val="000000"/>
          <w:kern w:val="0"/>
          <w:sz w:val="32"/>
          <w:szCs w:val="32"/>
        </w:rPr>
      </w:pPr>
      <w:r>
        <w:rPr>
          <w:rFonts w:ascii="仿宋_GB2312" w:hAnsi="宋体" w:eastAsia="仿宋_GB2312" w:cs="宋体"/>
          <w:color w:val="000000"/>
          <w:kern w:val="0"/>
          <w:sz w:val="32"/>
          <w:szCs w:val="32"/>
        </w:rPr>
        <w:t>我部门严格按照年初预算安排和工作部署</w:t>
      </w:r>
      <w:r>
        <w:rPr>
          <w:rFonts w:hint="eastAsia" w:ascii="仿宋_GB2312" w:hAnsi="宋体" w:eastAsia="仿宋_GB2312" w:cs="宋体"/>
          <w:color w:val="000000"/>
          <w:kern w:val="0"/>
          <w:sz w:val="32"/>
          <w:szCs w:val="32"/>
        </w:rPr>
        <w:t>，</w:t>
      </w:r>
      <w:r>
        <w:rPr>
          <w:rFonts w:ascii="仿宋_GB2312" w:hAnsi="宋体" w:eastAsia="仿宋_GB2312" w:cs="宋体"/>
          <w:color w:val="000000"/>
          <w:kern w:val="0"/>
          <w:sz w:val="32"/>
          <w:szCs w:val="32"/>
        </w:rPr>
        <w:t>积极推进</w:t>
      </w:r>
      <w:r>
        <w:rPr>
          <w:rFonts w:hint="eastAsia" w:ascii="仿宋_GB2312" w:hAnsi="宋体" w:eastAsia="仿宋_GB2312" w:cs="宋体"/>
          <w:color w:val="000000"/>
          <w:kern w:val="0"/>
          <w:sz w:val="32"/>
          <w:szCs w:val="32"/>
        </w:rPr>
        <w:t>各项</w:t>
      </w:r>
      <w:r>
        <w:rPr>
          <w:rFonts w:ascii="仿宋_GB2312" w:hAnsi="宋体" w:eastAsia="仿宋_GB2312" w:cs="宋体"/>
          <w:color w:val="000000"/>
          <w:kern w:val="0"/>
          <w:sz w:val="32"/>
          <w:szCs w:val="32"/>
        </w:rPr>
        <w:t>工作</w:t>
      </w:r>
      <w:r>
        <w:rPr>
          <w:rFonts w:hint="eastAsia" w:ascii="仿宋_GB2312" w:hAnsi="宋体" w:eastAsia="仿宋_GB2312" w:cs="宋体"/>
          <w:color w:val="000000"/>
          <w:kern w:val="0"/>
          <w:sz w:val="32"/>
          <w:szCs w:val="32"/>
          <w:lang w:val="en-US" w:eastAsia="zh-CN"/>
        </w:rPr>
        <w:t>进</w:t>
      </w:r>
      <w:r>
        <w:rPr>
          <w:rFonts w:ascii="仿宋_GB2312" w:hAnsi="宋体" w:eastAsia="仿宋_GB2312" w:cs="宋体"/>
          <w:color w:val="000000"/>
          <w:kern w:val="0"/>
          <w:sz w:val="32"/>
          <w:szCs w:val="32"/>
        </w:rPr>
        <w:t>展</w:t>
      </w:r>
      <w:r>
        <w:rPr>
          <w:rFonts w:hint="eastAsia" w:ascii="仿宋_GB2312" w:hAnsi="宋体" w:eastAsia="仿宋_GB2312" w:cs="宋体"/>
          <w:color w:val="000000"/>
          <w:kern w:val="0"/>
          <w:sz w:val="32"/>
          <w:szCs w:val="32"/>
        </w:rPr>
        <w:t>。</w:t>
      </w:r>
      <w:r>
        <w:rPr>
          <w:rFonts w:hint="eastAsia" w:ascii="仿宋_GB2312" w:hAnsi="宋体" w:eastAsia="仿宋_GB2312" w:cs="宋体"/>
          <w:color w:val="000000"/>
          <w:kern w:val="0"/>
          <w:sz w:val="32"/>
          <w:szCs w:val="32"/>
          <w:lang w:val="en-US" w:eastAsia="zh-CN"/>
        </w:rPr>
        <w:t>年末按照预期执</w:t>
      </w:r>
      <w:bookmarkStart w:id="0" w:name="_GoBack"/>
      <w:bookmarkEnd w:id="0"/>
      <w:r>
        <w:rPr>
          <w:rFonts w:hint="eastAsia" w:ascii="仿宋_GB2312" w:hAnsi="宋体" w:eastAsia="仿宋_GB2312" w:cs="宋体"/>
          <w:color w:val="000000"/>
          <w:kern w:val="0"/>
          <w:sz w:val="32"/>
          <w:szCs w:val="32"/>
          <w:lang w:val="en-US" w:eastAsia="zh-CN"/>
        </w:rPr>
        <w:t>行进度高效</w:t>
      </w:r>
      <w:r>
        <w:rPr>
          <w:rFonts w:hint="eastAsia" w:ascii="仿宋_GB2312" w:hAnsi="宋体" w:eastAsia="仿宋_GB2312" w:cs="宋体"/>
          <w:color w:val="000000"/>
          <w:kern w:val="0"/>
          <w:sz w:val="32"/>
          <w:szCs w:val="32"/>
        </w:rPr>
        <w:t>完成全年预算执行目标。</w:t>
      </w:r>
    </w:p>
    <w:p>
      <w:pPr>
        <w:keepNext w:val="0"/>
        <w:keepLines w:val="0"/>
        <w:pageBreakBefore w:val="0"/>
        <w:widowControl w:val="0"/>
        <w:kinsoku/>
        <w:wordWrap/>
        <w:overflowPunct/>
        <w:topLinePunct w:val="0"/>
        <w:autoSpaceDE/>
        <w:autoSpaceDN/>
        <w:bidi w:val="0"/>
        <w:spacing w:line="560" w:lineRule="exact"/>
        <w:ind w:left="105" w:leftChars="50" w:firstLine="643" w:firstLineChars="200"/>
        <w:textAlignment w:val="auto"/>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lang w:val="en-US" w:eastAsia="zh-CN"/>
        </w:rPr>
        <w:t>4</w:t>
      </w:r>
      <w:r>
        <w:rPr>
          <w:rFonts w:hint="eastAsia" w:ascii="仿宋_GB2312" w:hAnsi="宋体" w:eastAsia="仿宋_GB2312" w:cs="宋体"/>
          <w:b/>
          <w:bCs/>
          <w:color w:val="000000"/>
          <w:kern w:val="0"/>
          <w:sz w:val="32"/>
          <w:szCs w:val="32"/>
        </w:rPr>
        <w:t>.产出成本</w:t>
      </w:r>
    </w:p>
    <w:p>
      <w:pPr>
        <w:keepNext w:val="0"/>
        <w:keepLines w:val="0"/>
        <w:pageBreakBefore w:val="0"/>
        <w:widowControl w:val="0"/>
        <w:kinsoku/>
        <w:wordWrap/>
        <w:overflowPunct/>
        <w:topLinePunct w:val="0"/>
        <w:autoSpaceDE/>
        <w:autoSpaceDN/>
        <w:bidi w:val="0"/>
        <w:spacing w:line="560" w:lineRule="exact"/>
        <w:ind w:left="105" w:leftChars="50" w:firstLine="640" w:firstLineChars="200"/>
        <w:textAlignment w:val="auto"/>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我部门注重加强项目论证和成本测算，严格控制项目成本。全</w:t>
      </w:r>
      <w:r>
        <w:rPr>
          <w:rFonts w:hint="eastAsia" w:ascii="仿宋_GB2312" w:hAnsi="宋体" w:eastAsia="仿宋_GB2312" w:cs="宋体"/>
          <w:color w:val="000000"/>
          <w:kern w:val="0"/>
          <w:sz w:val="32"/>
          <w:szCs w:val="32"/>
          <w:highlight w:val="none"/>
        </w:rPr>
        <w:t>年</w:t>
      </w:r>
      <w:r>
        <w:rPr>
          <w:rFonts w:hint="eastAsia" w:ascii="仿宋_GB2312" w:hAnsi="宋体" w:eastAsia="仿宋_GB2312" w:cs="宋体"/>
          <w:color w:val="000000"/>
          <w:kern w:val="0"/>
          <w:sz w:val="32"/>
          <w:szCs w:val="32"/>
          <w:highlight w:val="none"/>
          <w:lang w:val="en-US" w:eastAsia="zh-CN"/>
        </w:rPr>
        <w:t>126</w:t>
      </w:r>
      <w:r>
        <w:rPr>
          <w:rFonts w:hint="eastAsia" w:ascii="仿宋_GB2312" w:hAnsi="宋体" w:eastAsia="仿宋_GB2312" w:cs="宋体"/>
          <w:color w:val="000000"/>
          <w:kern w:val="0"/>
          <w:sz w:val="32"/>
          <w:szCs w:val="32"/>
          <w:highlight w:val="none"/>
        </w:rPr>
        <w:t>个项目，支出</w:t>
      </w:r>
      <w:r>
        <w:rPr>
          <w:rFonts w:hint="eastAsia" w:ascii="仿宋_GB2312" w:hAnsi="宋体" w:eastAsia="仿宋_GB2312" w:cs="宋体"/>
          <w:color w:val="000000"/>
          <w:kern w:val="0"/>
          <w:sz w:val="32"/>
          <w:szCs w:val="32"/>
        </w:rPr>
        <w:t>资金27650.385877</w:t>
      </w:r>
      <w:r>
        <w:rPr>
          <w:rFonts w:ascii="仿宋_GB2312" w:hAnsi="宋体" w:eastAsia="仿宋_GB2312" w:cs="宋体"/>
          <w:color w:val="000000"/>
          <w:kern w:val="0"/>
          <w:sz w:val="32"/>
          <w:szCs w:val="32"/>
        </w:rPr>
        <w:t>万元</w:t>
      </w:r>
      <w:r>
        <w:rPr>
          <w:rFonts w:hint="eastAsia" w:ascii="仿宋_GB2312" w:hAnsi="宋体" w:eastAsia="仿宋_GB2312" w:cs="宋体"/>
          <w:color w:val="000000"/>
          <w:kern w:val="0"/>
          <w:sz w:val="32"/>
          <w:szCs w:val="32"/>
        </w:rPr>
        <w:t>。不存在无预算、超预算支出情况。</w:t>
      </w:r>
    </w:p>
    <w:p>
      <w:pPr>
        <w:spacing w:line="600" w:lineRule="exact"/>
        <w:ind w:left="105" w:leftChars="50" w:firstLine="482" w:firstLineChars="150"/>
        <w:rPr>
          <w:rFonts w:ascii="楷体_GB2312" w:eastAsia="楷体_GB2312"/>
          <w:b/>
          <w:bCs/>
          <w:sz w:val="32"/>
          <w:szCs w:val="32"/>
        </w:rPr>
      </w:pPr>
      <w:r>
        <w:rPr>
          <w:rFonts w:hint="eastAsia" w:ascii="楷体_GB2312" w:eastAsia="楷体_GB2312"/>
          <w:b/>
          <w:bCs/>
          <w:sz w:val="32"/>
          <w:szCs w:val="32"/>
        </w:rPr>
        <w:t>（二）效果</w:t>
      </w:r>
      <w:r>
        <w:rPr>
          <w:rFonts w:ascii="楷体_GB2312" w:eastAsia="楷体_GB2312"/>
          <w:b/>
          <w:bCs/>
          <w:sz w:val="32"/>
          <w:szCs w:val="32"/>
        </w:rPr>
        <w:t>实现情况分析</w:t>
      </w:r>
    </w:p>
    <w:p>
      <w:pPr>
        <w:adjustRightInd w:val="0"/>
        <w:snapToGrid w:val="0"/>
        <w:spacing w:line="560" w:lineRule="exact"/>
        <w:ind w:firstLine="643" w:firstLineChars="200"/>
        <w:rPr>
          <w:rFonts w:eastAsia="仿宋_GB2312"/>
          <w:b/>
          <w:bCs w:val="0"/>
          <w:kern w:val="0"/>
          <w:sz w:val="32"/>
          <w:szCs w:val="32"/>
        </w:rPr>
      </w:pPr>
      <w:r>
        <w:rPr>
          <w:rFonts w:hint="eastAsia" w:eastAsia="仿宋_GB2312"/>
          <w:b/>
          <w:bCs w:val="0"/>
          <w:kern w:val="0"/>
          <w:sz w:val="32"/>
          <w:szCs w:val="32"/>
        </w:rPr>
        <w:t>1.经济</w:t>
      </w:r>
      <w:r>
        <w:rPr>
          <w:rFonts w:eastAsia="仿宋_GB2312"/>
          <w:b/>
          <w:bCs w:val="0"/>
          <w:kern w:val="0"/>
          <w:sz w:val="32"/>
          <w:szCs w:val="32"/>
        </w:rPr>
        <w:t>效益</w:t>
      </w:r>
    </w:p>
    <w:p>
      <w:pPr>
        <w:spacing w:line="560" w:lineRule="exact"/>
        <w:ind w:left="105" w:leftChars="50" w:firstLine="640" w:firstLineChars="200"/>
        <w:rPr>
          <w:rFonts w:eastAsia="仿宋_GB2312"/>
          <w:sz w:val="32"/>
          <w:szCs w:val="32"/>
        </w:rPr>
      </w:pPr>
      <w:r>
        <w:rPr>
          <w:rFonts w:hint="eastAsia" w:eastAsia="仿宋_GB2312"/>
          <w:sz w:val="32"/>
          <w:szCs w:val="32"/>
        </w:rPr>
        <w:t>园区数字经济重点产业集群建设成果丰厚。</w:t>
      </w:r>
      <w:r>
        <w:rPr>
          <w:rFonts w:eastAsia="仿宋_GB2312"/>
          <w:sz w:val="32"/>
          <w:szCs w:val="32"/>
        </w:rPr>
        <w:t>落实全球数字经济标杆城市“一区一品”建设要求，</w:t>
      </w:r>
      <w:r>
        <w:rPr>
          <w:rFonts w:hint="eastAsia" w:eastAsia="仿宋_GB2312"/>
          <w:sz w:val="32"/>
          <w:szCs w:val="32"/>
        </w:rPr>
        <w:t>印发</w:t>
      </w:r>
      <w:r>
        <w:rPr>
          <w:rFonts w:eastAsia="仿宋_GB2312"/>
          <w:sz w:val="32"/>
          <w:szCs w:val="32"/>
        </w:rPr>
        <w:t>《2023年朝阳区数字经济核心区建设工作要点》，</w:t>
      </w:r>
      <w:r>
        <w:rPr>
          <w:rFonts w:hint="eastAsia" w:eastAsia="仿宋_GB2312"/>
          <w:sz w:val="32"/>
          <w:szCs w:val="32"/>
        </w:rPr>
        <w:t>统筹</w:t>
      </w:r>
      <w:r>
        <w:rPr>
          <w:rFonts w:eastAsia="仿宋_GB2312"/>
          <w:sz w:val="32"/>
          <w:szCs w:val="32"/>
        </w:rPr>
        <w:t>推动落实9方面30项重点任务。</w:t>
      </w:r>
      <w:r>
        <w:rPr>
          <w:rFonts w:eastAsia="仿宋_GB2312"/>
          <w:color w:val="000000" w:themeColor="text1"/>
          <w:sz w:val="32"/>
          <w:szCs w:val="32"/>
        </w:rPr>
        <w:t>今年上半年全区数字经济核心产业收入2459.1亿元，同比增长7.8%，高于全市增速0.6个百分点。</w:t>
      </w:r>
    </w:p>
    <w:p>
      <w:pPr>
        <w:spacing w:line="560" w:lineRule="exact"/>
        <w:ind w:left="105" w:leftChars="50"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提升区域经济高质量发展活力。牵头构建包括软件信息服务业、科技服务业、工业、大中型重点企业研发在内的全区GDP高质量发展促进体系。1-8月，全区信息传输、软件和信息技术服务业实现收入2001.5亿元、同比增长10.3%；科学研究和技术服务业实现收入1048.2亿元，同比下降4.9%，降幅呈收窄态势；大中型重点企业实现研发费用281.9亿元，同比增长4.5%。全区规模以上工业企业实现工业总产值505.5亿元，同比增长1.6%，增速高于全市0.3个百分点，在城六区中，产量增速排名第一。</w:t>
      </w:r>
    </w:p>
    <w:p>
      <w:pPr>
        <w:spacing w:line="560" w:lineRule="exact"/>
        <w:ind w:left="105" w:leftChars="50" w:firstLine="640" w:firstLineChars="200"/>
        <w:rPr>
          <w:rFonts w:ascii="仿宋_GB2312" w:hAnsi="仿宋_GB2312" w:eastAsia="仿宋_GB2312" w:cs="仿宋_GB2312"/>
          <w:color w:val="000000" w:themeColor="text1"/>
          <w:sz w:val="32"/>
          <w:szCs w:val="32"/>
        </w:rPr>
      </w:pPr>
      <w:r>
        <w:rPr>
          <w:rFonts w:ascii="仿宋_GB2312" w:hAnsi="仿宋_GB2312" w:eastAsia="仿宋_GB2312" w:cs="仿宋_GB2312"/>
          <w:color w:val="000000" w:themeColor="text1"/>
          <w:sz w:val="32"/>
          <w:szCs w:val="32"/>
        </w:rPr>
        <w:t>政务专线、金财网专线、社区（村）</w:t>
      </w:r>
      <w:r>
        <w:rPr>
          <w:rFonts w:hint="eastAsia" w:ascii="仿宋_GB2312" w:hAnsi="仿宋_GB2312" w:eastAsia="仿宋_GB2312" w:cs="仿宋_GB2312"/>
          <w:color w:val="000000" w:themeColor="text1"/>
          <w:sz w:val="32"/>
          <w:szCs w:val="32"/>
        </w:rPr>
        <w:t>级线路接入</w:t>
      </w:r>
      <w:r>
        <w:rPr>
          <w:rFonts w:ascii="仿宋_GB2312" w:hAnsi="仿宋_GB2312" w:eastAsia="仿宋_GB2312" w:cs="仿宋_GB2312"/>
          <w:color w:val="000000" w:themeColor="text1"/>
          <w:sz w:val="32"/>
          <w:szCs w:val="32"/>
        </w:rPr>
        <w:t>项目实施前，区科信局依据《政府购买服务管理办法》（中华人民共和国财政部令第102号）、《北京市政府购买服务预算管理办法》（京财综〔2019〕1554号）及项目单位采购管理制度等通过公开招投标方式组织采购服务单位；项目实施阶段，依据实施方案和相关管理制度严格把控服务质量，通过管理平台对申报故障进行记录，如明确为服务商责任，则验收时按相关要求扣除服务商相应费用，进而控制项目成本。本项目2021年经过公开招投标确定服务单位，2023年依据2021年采购结果与服务商续签合同。同时2023年底完成了新一轮招标工作。评估认为，本项目预算和成本控制较为完善有效</w:t>
      </w:r>
      <w:r>
        <w:rPr>
          <w:rFonts w:hint="eastAsia" w:ascii="仿宋_GB2312" w:hAnsi="仿宋_GB2312" w:eastAsia="仿宋_GB2312" w:cs="仿宋_GB2312"/>
          <w:color w:val="000000" w:themeColor="text1"/>
          <w:sz w:val="32"/>
          <w:szCs w:val="32"/>
        </w:rPr>
        <w:t>。</w:t>
      </w:r>
    </w:p>
    <w:p>
      <w:pPr>
        <w:adjustRightInd w:val="0"/>
        <w:snapToGrid w:val="0"/>
        <w:spacing w:line="560" w:lineRule="exact"/>
        <w:ind w:firstLine="643" w:firstLineChars="200"/>
        <w:rPr>
          <w:rFonts w:eastAsia="仿宋_GB2312"/>
          <w:b/>
          <w:bCs w:val="0"/>
          <w:kern w:val="0"/>
          <w:sz w:val="32"/>
          <w:szCs w:val="32"/>
        </w:rPr>
      </w:pPr>
      <w:r>
        <w:rPr>
          <w:rFonts w:hint="eastAsia" w:eastAsia="仿宋_GB2312"/>
          <w:b/>
          <w:bCs w:val="0"/>
          <w:kern w:val="0"/>
          <w:sz w:val="32"/>
          <w:szCs w:val="32"/>
        </w:rPr>
        <w:t>2.社会效益</w:t>
      </w:r>
    </w:p>
    <w:p>
      <w:pPr>
        <w:pStyle w:val="13"/>
        <w:spacing w:after="0" w:line="560" w:lineRule="exact"/>
        <w:ind w:firstLine="640" w:firstLineChars="200"/>
        <w:rPr>
          <w:rFonts w:eastAsia="仿宋_GB2312"/>
          <w:b/>
          <w:bCs/>
          <w:sz w:val="32"/>
          <w:szCs w:val="32"/>
        </w:rPr>
      </w:pPr>
      <w:r>
        <w:rPr>
          <w:rFonts w:hint="eastAsia" w:ascii="仿宋" w:hAnsi="仿宋" w:eastAsia="仿宋" w:cs="仿宋"/>
          <w:sz w:val="32"/>
          <w:szCs w:val="32"/>
        </w:rPr>
        <w:t>（1）</w:t>
      </w:r>
      <w:r>
        <w:rPr>
          <w:rFonts w:hint="eastAsia" w:eastAsia="仿宋_GB2312"/>
          <w:sz w:val="32"/>
          <w:szCs w:val="32"/>
        </w:rPr>
        <w:t>贴身做好企业服务，优化区域营商环境，增强企业粘性，</w:t>
      </w:r>
      <w:r>
        <w:rPr>
          <w:rFonts w:eastAsia="仿宋_GB2312"/>
          <w:sz w:val="32"/>
          <w:szCs w:val="32"/>
        </w:rPr>
        <w:t>服务经济社会发展</w:t>
      </w:r>
      <w:r>
        <w:rPr>
          <w:rFonts w:hint="eastAsia" w:eastAsia="仿宋_GB2312"/>
          <w:sz w:val="32"/>
          <w:szCs w:val="32"/>
        </w:rPr>
        <w:t>。</w:t>
      </w:r>
      <w:r>
        <w:rPr>
          <w:rFonts w:ascii="Times New Roman" w:hAnsi="Times New Roman" w:eastAsia="仿宋_GB2312"/>
          <w:color w:val="000000"/>
          <w:sz w:val="32"/>
          <w:szCs w:val="32"/>
        </w:rPr>
        <w:t>高质量推进国际创投集聚区2.0建设，储备创业项目404个，为170家企业提供投融资对接服务，服务投资机构183家次</w:t>
      </w:r>
      <w:r>
        <w:rPr>
          <w:rFonts w:hint="eastAsia" w:ascii="Times New Roman" w:hAnsi="Times New Roman"/>
          <w:color w:val="000000"/>
          <w:sz w:val="32"/>
          <w:szCs w:val="32"/>
        </w:rPr>
        <w:t>，</w:t>
      </w:r>
      <w:r>
        <w:rPr>
          <w:rFonts w:hint="eastAsia" w:eastAsia="仿宋_GB2312"/>
          <w:sz w:val="32"/>
          <w:szCs w:val="32"/>
        </w:rPr>
        <w:t>广泛宣传中央、市区出台的各项帮扶政策，主动对接企业，针对企业反映的困难和问题积极帮助协调解决，稳定企业发展。</w:t>
      </w:r>
      <w:r>
        <w:rPr>
          <w:rFonts w:hint="eastAsia" w:ascii="Times New Roman" w:hAnsi="Times New Roman" w:eastAsia="仿宋_GB2312"/>
          <w:color w:val="000000" w:themeColor="text1"/>
          <w:spacing w:val="-6"/>
          <w:sz w:val="32"/>
          <w:szCs w:val="32"/>
        </w:rPr>
        <w:t>打造</w:t>
      </w:r>
      <w:r>
        <w:rPr>
          <w:rFonts w:ascii="Times New Roman" w:hAnsi="Times New Roman" w:eastAsia="仿宋_GB2312"/>
          <w:color w:val="000000" w:themeColor="text1"/>
          <w:sz w:val="32"/>
          <w:szCs w:val="32"/>
        </w:rPr>
        <w:t>“城市智慧大脑</w:t>
      </w:r>
      <w:r>
        <w:rPr>
          <w:rFonts w:hint="eastAsia" w:ascii="Times New Roman" w:hAnsi="Times New Roman" w:eastAsia="仿宋_GB2312"/>
          <w:color w:val="000000" w:themeColor="text1"/>
          <w:sz w:val="32"/>
          <w:szCs w:val="32"/>
        </w:rPr>
        <w:t>2.0</w:t>
      </w:r>
      <w:r>
        <w:rPr>
          <w:rFonts w:ascii="Times New Roman" w:hAnsi="Times New Roman" w:eastAsia="仿宋_GB2312"/>
          <w:color w:val="000000" w:themeColor="text1"/>
          <w:sz w:val="32"/>
          <w:szCs w:val="32"/>
        </w:rPr>
        <w:t>”</w:t>
      </w:r>
      <w:r>
        <w:rPr>
          <w:rFonts w:hint="eastAsia" w:ascii="Times New Roman" w:hAnsi="Times New Roman" w:eastAsia="仿宋_GB2312"/>
          <w:color w:val="000000" w:themeColor="text1"/>
          <w:sz w:val="32"/>
          <w:szCs w:val="32"/>
        </w:rPr>
        <w:t>。建设</w:t>
      </w:r>
      <w:r>
        <w:rPr>
          <w:rFonts w:ascii="Times New Roman" w:hAnsi="Times New Roman" w:eastAsia="仿宋_GB2312"/>
          <w:color w:val="000000" w:themeColor="text1"/>
          <w:sz w:val="32"/>
          <w:szCs w:val="32"/>
        </w:rPr>
        <w:t>政务云底座平台、共享交换平台、地理信息服务平台、大数据平台等共性基础平台</w:t>
      </w:r>
      <w:r>
        <w:rPr>
          <w:rFonts w:hint="eastAsia" w:ascii="Times New Roman" w:hAnsi="Times New Roman" w:eastAsia="仿宋_GB2312"/>
          <w:color w:val="000000" w:themeColor="text1"/>
          <w:sz w:val="32"/>
          <w:szCs w:val="32"/>
        </w:rPr>
        <w:t>，搭建</w:t>
      </w:r>
      <w:r>
        <w:rPr>
          <w:rFonts w:ascii="Times New Roman" w:hAnsi="Times New Roman" w:eastAsia="仿宋_GB2312"/>
          <w:color w:val="000000" w:themeColor="text1"/>
          <w:sz w:val="32"/>
          <w:szCs w:val="32"/>
        </w:rPr>
        <w:t>政务服务、城市管理、社会治理等领域专题应用</w:t>
      </w:r>
      <w:r>
        <w:rPr>
          <w:rFonts w:hint="eastAsia" w:ascii="Times New Roman" w:hAnsi="Times New Roman" w:eastAsia="仿宋_GB2312"/>
          <w:color w:val="000000" w:themeColor="text1"/>
          <w:sz w:val="32"/>
          <w:szCs w:val="32"/>
        </w:rPr>
        <w:t>。</w:t>
      </w:r>
    </w:p>
    <w:p>
      <w:pPr>
        <w:pStyle w:val="6"/>
        <w:spacing w:line="560" w:lineRule="exact"/>
        <w:ind w:firstLine="640"/>
        <w:jc w:val="left"/>
        <w:rPr>
          <w:rFonts w:ascii="Times New Roman" w:hAnsi="Times New Roman"/>
          <w:sz w:val="32"/>
          <w:szCs w:val="32"/>
        </w:rPr>
      </w:pPr>
      <w:r>
        <w:rPr>
          <w:rFonts w:hint="eastAsia" w:ascii="仿宋" w:hAnsi="仿宋" w:eastAsia="仿宋" w:cs="仿宋"/>
          <w:sz w:val="32"/>
          <w:szCs w:val="32"/>
        </w:rPr>
        <w:t>（2）</w:t>
      </w:r>
      <w:r>
        <w:rPr>
          <w:rFonts w:hint="eastAsia" w:ascii="仿宋_GB2312" w:hAnsi="仿宋_GB2312" w:cs="仿宋_GB2312"/>
          <w:sz w:val="32"/>
          <w:szCs w:val="32"/>
        </w:rPr>
        <w:t>谋划园区发展顶层设计，营造创新创业活跃氛围，为朝阳区高质量发展贡献力量。编</w:t>
      </w:r>
      <w:r>
        <w:rPr>
          <w:rFonts w:hint="eastAsia" w:ascii="仿宋_GB2312" w:hAnsi="仿宋_GB2312" w:cs="仿宋_GB2312"/>
          <w:color w:val="000000"/>
          <w:sz w:val="32"/>
          <w:szCs w:val="32"/>
        </w:rPr>
        <w:t>打造科技创新合作先导区。与北京工业大学</w:t>
      </w:r>
      <w:r>
        <w:rPr>
          <w:rFonts w:hint="eastAsia" w:ascii="仿宋_GB2312" w:hAnsi="仿宋_GB2312" w:cs="仿宋_GB2312"/>
          <w:sz w:val="32"/>
          <w:szCs w:val="32"/>
        </w:rPr>
        <w:t>合作启动“数字朝阳行动计划”，启动北京首个区校合作创新区“山河湾谷”建设，发布创新区建设纲要及十条支持建设意见，以创新生态赋能南部崛起，将优质科教资源与朝阳创新体系相融合，服务北京国际科技创新中心建设。</w:t>
      </w:r>
      <w:r>
        <w:rPr>
          <w:rFonts w:hint="eastAsia" w:ascii="Times New Roman" w:hAnsi="Times New Roman"/>
          <w:color w:val="000000"/>
          <w:sz w:val="32"/>
          <w:szCs w:val="32"/>
        </w:rPr>
        <w:t>举办互联网3.0高峰论坛、数字经济赋能朝阳“南部崛起”论坛、光电子集成应用与产业化发展论坛3场主题论坛、全球数字经济创新大赛、精品主题展等活动。</w:t>
      </w:r>
      <w:r>
        <w:rPr>
          <w:rFonts w:hint="eastAsia" w:ascii="Times New Roman" w:hAnsi="Times New Roman"/>
          <w:color w:val="000000" w:themeColor="text1"/>
          <w:sz w:val="32"/>
          <w:szCs w:val="32"/>
        </w:rPr>
        <w:t>发挥区科技创新引导基金作用，出资30亿元，撬动基金总规模达到267亿元。</w:t>
      </w:r>
      <w:r>
        <w:rPr>
          <w:rFonts w:hint="eastAsia" w:ascii="Times New Roman" w:hAnsi="Times New Roman"/>
          <w:sz w:val="32"/>
          <w:szCs w:val="32"/>
        </w:rPr>
        <w:t>推进重大项目建设。完成朝阳园北区高压线临时迁改工程，全面推进高压线永久入地工程进场施工；国际医院计划12月底开工建设，国际人才公寓预计2024年8月交付使用，完成“北京未来科技交流中心”定位研究。推进阿里巴巴北京总部二期落地实施。</w:t>
      </w:r>
    </w:p>
    <w:p>
      <w:pPr>
        <w:ind w:firstLine="640" w:firstLineChars="200"/>
        <w:rPr>
          <w:rFonts w:eastAsia="仿宋_GB2312"/>
          <w:sz w:val="32"/>
          <w:szCs w:val="32"/>
        </w:rPr>
      </w:pPr>
      <w:r>
        <w:rPr>
          <w:rFonts w:hint="eastAsia" w:eastAsia="仿宋_GB2312"/>
          <w:sz w:val="32"/>
          <w:szCs w:val="32"/>
        </w:rPr>
        <w:t>（3）通过</w:t>
      </w:r>
      <w:r>
        <w:rPr>
          <w:rFonts w:ascii="仿宋_GB2312" w:hAnsi="仿宋_GB2312" w:eastAsia="仿宋_GB2312" w:cs="仿宋_GB2312"/>
          <w:color w:val="000000" w:themeColor="text1"/>
          <w:sz w:val="32"/>
          <w:szCs w:val="32"/>
        </w:rPr>
        <w:t>政务专线、金财网专线、社区（村）</w:t>
      </w:r>
      <w:r>
        <w:rPr>
          <w:rFonts w:hint="eastAsia" w:ascii="仿宋_GB2312" w:hAnsi="仿宋_GB2312" w:eastAsia="仿宋_GB2312" w:cs="仿宋_GB2312"/>
          <w:color w:val="000000" w:themeColor="text1"/>
          <w:sz w:val="32"/>
          <w:szCs w:val="32"/>
        </w:rPr>
        <w:t>级线路接入</w:t>
      </w:r>
      <w:r>
        <w:rPr>
          <w:rFonts w:hint="eastAsia" w:eastAsia="仿宋_GB2312"/>
          <w:sz w:val="32"/>
          <w:szCs w:val="32"/>
        </w:rPr>
        <w:t>项目的实施，为各级单位业务应用提供网络承载服务，支持业务网络互联互通，支持跨区域、跨部门业务应用、信息共享和业务协同，满足朝阳区各级政务部门经济调节、市场监管、社会管理和公共服务等面向社会服务的需要。本项目主要体现为社会效益，通过实施本项目为社会管理提供基本保证，预期效益与项目目标一致且能够实现。截止到2023年已经完成了区各委办局、街乡全覆盖工作，覆盖率达100%。作为区电子政务的重要基础设施，各专线为各接入单位提供7*24小时的不间断服务，保障各单位网络互联互通。满足本区各级政务部门经济调节、市场监管、社会管理和公共服务等面向社会服务的需要；为区内各级单位业务应用提供网络承载服务，支持业务网络的互联互通，支持跨区域、跨部门的业务应用、信息共享和业务协同。</w:t>
      </w:r>
    </w:p>
    <w:p>
      <w:pPr>
        <w:spacing w:line="560" w:lineRule="exact"/>
        <w:ind w:left="105" w:leftChars="50" w:firstLine="643" w:firstLineChars="200"/>
        <w:rPr>
          <w:rFonts w:hint="eastAsia" w:ascii="仿宋_GB2312" w:hAnsi="宋体" w:eastAsia="仿宋_GB2312" w:cs="宋体"/>
          <w:b/>
          <w:bCs w:val="0"/>
          <w:color w:val="000000"/>
          <w:kern w:val="0"/>
          <w:sz w:val="32"/>
          <w:szCs w:val="32"/>
        </w:rPr>
      </w:pPr>
      <w:r>
        <w:rPr>
          <w:rFonts w:hint="eastAsia" w:ascii="仿宋_GB2312" w:hAnsi="宋体" w:eastAsia="仿宋_GB2312" w:cs="宋体"/>
          <w:b/>
          <w:bCs w:val="0"/>
          <w:color w:val="000000"/>
          <w:kern w:val="0"/>
          <w:sz w:val="32"/>
          <w:szCs w:val="32"/>
        </w:rPr>
        <w:t>3.环境效益</w:t>
      </w:r>
    </w:p>
    <w:p>
      <w:pPr>
        <w:spacing w:line="560" w:lineRule="exact"/>
        <w:ind w:left="105" w:leftChars="50" w:firstLine="640" w:firstLineChars="200"/>
        <w:rPr>
          <w:rFonts w:hint="eastAsia" w:ascii="仿宋_GB2312" w:hAnsi="宋体" w:eastAsia="仿宋_GB2312" w:cs="宋体"/>
          <w:b/>
          <w:bCs w:val="0"/>
          <w:color w:val="000000"/>
          <w:kern w:val="0"/>
          <w:sz w:val="32"/>
          <w:szCs w:val="32"/>
        </w:rPr>
      </w:pPr>
      <w:r>
        <w:rPr>
          <w:rFonts w:ascii="仿宋_GB2312" w:hAnsi="宋体" w:eastAsia="仿宋_GB2312" w:cs="宋体"/>
          <w:color w:val="000000"/>
          <w:kern w:val="0"/>
          <w:sz w:val="32"/>
          <w:szCs w:val="32"/>
        </w:rPr>
        <w:t>我部门项目均为科技领域项目</w:t>
      </w:r>
      <w:r>
        <w:rPr>
          <w:rFonts w:hint="eastAsia" w:ascii="仿宋_GB2312" w:hAnsi="宋体" w:eastAsia="仿宋_GB2312" w:cs="宋体"/>
          <w:color w:val="000000"/>
          <w:kern w:val="0"/>
          <w:sz w:val="32"/>
          <w:szCs w:val="32"/>
        </w:rPr>
        <w:t>，</w:t>
      </w:r>
      <w:r>
        <w:rPr>
          <w:rFonts w:ascii="仿宋_GB2312" w:hAnsi="宋体" w:eastAsia="仿宋_GB2312" w:cs="宋体"/>
          <w:color w:val="000000"/>
          <w:kern w:val="0"/>
          <w:sz w:val="32"/>
          <w:szCs w:val="32"/>
        </w:rPr>
        <w:t>不涉及施工</w:t>
      </w:r>
      <w:r>
        <w:rPr>
          <w:rFonts w:hint="eastAsia" w:ascii="仿宋_GB2312" w:hAnsi="宋体" w:eastAsia="仿宋_GB2312" w:cs="宋体"/>
          <w:color w:val="000000"/>
          <w:kern w:val="0"/>
          <w:sz w:val="32"/>
          <w:szCs w:val="32"/>
        </w:rPr>
        <w:t>、</w:t>
      </w:r>
      <w:r>
        <w:rPr>
          <w:rFonts w:ascii="仿宋_GB2312" w:hAnsi="宋体" w:eastAsia="仿宋_GB2312" w:cs="宋体"/>
          <w:color w:val="000000"/>
          <w:kern w:val="0"/>
          <w:sz w:val="32"/>
          <w:szCs w:val="32"/>
        </w:rPr>
        <w:t>土建等</w:t>
      </w:r>
      <w:r>
        <w:rPr>
          <w:rFonts w:hint="eastAsia" w:ascii="仿宋_GB2312" w:hAnsi="宋体" w:eastAsia="仿宋_GB2312" w:cs="宋体"/>
          <w:color w:val="000000"/>
          <w:kern w:val="0"/>
          <w:sz w:val="32"/>
          <w:szCs w:val="32"/>
        </w:rPr>
        <w:t>，</w:t>
      </w:r>
      <w:r>
        <w:rPr>
          <w:rFonts w:hint="eastAsia" w:ascii="仿宋_GB2312" w:hAnsi="宋体" w:eastAsia="仿宋_GB2312" w:cs="宋体"/>
          <w:color w:val="000000"/>
          <w:kern w:val="0"/>
          <w:sz w:val="32"/>
          <w:szCs w:val="32"/>
          <w:lang w:val="en-US" w:eastAsia="zh-CN"/>
        </w:rPr>
        <w:t>未发现</w:t>
      </w:r>
      <w:r>
        <w:rPr>
          <w:rFonts w:ascii="仿宋_GB2312" w:hAnsi="宋体" w:eastAsia="仿宋_GB2312" w:cs="宋体"/>
          <w:color w:val="000000"/>
          <w:kern w:val="0"/>
          <w:sz w:val="32"/>
          <w:szCs w:val="32"/>
        </w:rPr>
        <w:t>对环境</w:t>
      </w:r>
      <w:r>
        <w:rPr>
          <w:rFonts w:hint="eastAsia" w:ascii="仿宋_GB2312" w:hAnsi="宋体" w:eastAsia="仿宋_GB2312" w:cs="宋体"/>
          <w:color w:val="000000"/>
          <w:kern w:val="0"/>
          <w:sz w:val="32"/>
          <w:szCs w:val="32"/>
          <w:lang w:val="en-US" w:eastAsia="zh-CN"/>
        </w:rPr>
        <w:t>存在</w:t>
      </w:r>
      <w:r>
        <w:rPr>
          <w:rFonts w:ascii="仿宋_GB2312" w:hAnsi="宋体" w:eastAsia="仿宋_GB2312" w:cs="宋体"/>
          <w:color w:val="000000"/>
          <w:kern w:val="0"/>
          <w:sz w:val="32"/>
          <w:szCs w:val="32"/>
        </w:rPr>
        <w:t>有害影响</w:t>
      </w:r>
      <w:r>
        <w:rPr>
          <w:rFonts w:hint="eastAsia" w:ascii="仿宋_GB2312" w:hAnsi="宋体" w:eastAsia="仿宋_GB2312" w:cs="宋体"/>
          <w:color w:val="000000"/>
          <w:kern w:val="0"/>
          <w:sz w:val="32"/>
          <w:szCs w:val="32"/>
        </w:rPr>
        <w:t>。</w:t>
      </w:r>
    </w:p>
    <w:p>
      <w:pPr>
        <w:spacing w:line="560" w:lineRule="exact"/>
        <w:ind w:left="105" w:leftChars="50" w:firstLine="643" w:firstLineChars="200"/>
        <w:rPr>
          <w:rFonts w:ascii="仿宋_GB2312" w:hAnsi="宋体" w:eastAsia="仿宋_GB2312" w:cs="宋体"/>
          <w:b/>
          <w:bCs w:val="0"/>
          <w:color w:val="000000"/>
          <w:kern w:val="0"/>
          <w:sz w:val="32"/>
          <w:szCs w:val="32"/>
        </w:rPr>
      </w:pPr>
      <w:r>
        <w:rPr>
          <w:rFonts w:hint="eastAsia" w:ascii="仿宋_GB2312" w:hAnsi="宋体" w:eastAsia="仿宋_GB2312" w:cs="宋体"/>
          <w:b/>
          <w:bCs w:val="0"/>
          <w:color w:val="000000"/>
          <w:kern w:val="0"/>
          <w:sz w:val="32"/>
          <w:szCs w:val="32"/>
          <w:lang w:val="en-US" w:eastAsia="zh-CN"/>
        </w:rPr>
        <w:t>4</w:t>
      </w:r>
      <w:r>
        <w:rPr>
          <w:rFonts w:hint="eastAsia" w:ascii="仿宋_GB2312" w:hAnsi="宋体" w:eastAsia="仿宋_GB2312" w:cs="宋体"/>
          <w:b/>
          <w:bCs w:val="0"/>
          <w:color w:val="000000"/>
          <w:kern w:val="0"/>
          <w:sz w:val="32"/>
          <w:szCs w:val="32"/>
        </w:rPr>
        <w:t>.可持续</w:t>
      </w:r>
      <w:r>
        <w:rPr>
          <w:rFonts w:ascii="仿宋_GB2312" w:hAnsi="宋体" w:eastAsia="仿宋_GB2312" w:cs="宋体"/>
          <w:b/>
          <w:bCs w:val="0"/>
          <w:color w:val="000000"/>
          <w:kern w:val="0"/>
          <w:sz w:val="32"/>
          <w:szCs w:val="32"/>
        </w:rPr>
        <w:t>性影响</w:t>
      </w:r>
    </w:p>
    <w:p>
      <w:pPr>
        <w:spacing w:line="560" w:lineRule="exact"/>
        <w:ind w:left="105" w:leftChars="50" w:firstLine="640" w:firstLineChars="200"/>
        <w:rPr>
          <w:rFonts w:ascii="仿宋_GB2312" w:hAnsi="宋体" w:eastAsia="仿宋_GB2312" w:cs="宋体"/>
          <w:color w:val="000000"/>
          <w:kern w:val="0"/>
          <w:sz w:val="32"/>
          <w:szCs w:val="32"/>
        </w:rPr>
      </w:pPr>
      <w:r>
        <w:rPr>
          <w:rFonts w:ascii="仿宋_GB2312" w:hAnsi="宋体" w:eastAsia="仿宋_GB2312" w:cs="宋体"/>
          <w:bCs/>
          <w:color w:val="000000"/>
          <w:kern w:val="0"/>
          <w:sz w:val="32"/>
          <w:szCs w:val="32"/>
        </w:rPr>
        <w:t>通过</w:t>
      </w:r>
      <w:r>
        <w:rPr>
          <w:rFonts w:hint="eastAsia" w:ascii="仿宋_GB2312" w:hAnsi="宋体" w:eastAsia="仿宋_GB2312" w:cs="宋体"/>
          <w:bCs/>
          <w:color w:val="000000"/>
          <w:kern w:val="0"/>
          <w:sz w:val="32"/>
          <w:szCs w:val="32"/>
        </w:rPr>
        <w:t>园区</w:t>
      </w:r>
      <w:r>
        <w:rPr>
          <w:rFonts w:ascii="仿宋_GB2312" w:hAnsi="宋体" w:eastAsia="仿宋_GB2312" w:cs="宋体"/>
          <w:bCs/>
          <w:color w:val="000000"/>
          <w:kern w:val="0"/>
          <w:sz w:val="32"/>
          <w:szCs w:val="32"/>
        </w:rPr>
        <w:t>领导干部上下</w:t>
      </w:r>
      <w:r>
        <w:rPr>
          <w:rFonts w:ascii="仿宋_GB2312" w:hAnsi="宋体" w:eastAsia="仿宋_GB2312" w:cs="宋体"/>
          <w:color w:val="000000"/>
          <w:kern w:val="0"/>
          <w:sz w:val="32"/>
          <w:szCs w:val="32"/>
        </w:rPr>
        <w:t>一心</w:t>
      </w:r>
      <w:r>
        <w:rPr>
          <w:rFonts w:hint="eastAsia" w:ascii="仿宋_GB2312" w:hAnsi="宋体" w:eastAsia="仿宋_GB2312" w:cs="宋体"/>
          <w:color w:val="000000"/>
          <w:kern w:val="0"/>
          <w:sz w:val="32"/>
          <w:szCs w:val="32"/>
        </w:rPr>
        <w:t>、</w:t>
      </w:r>
      <w:r>
        <w:rPr>
          <w:rFonts w:ascii="仿宋_GB2312" w:hAnsi="宋体" w:eastAsia="仿宋_GB2312" w:cs="宋体"/>
          <w:color w:val="000000"/>
          <w:kern w:val="0"/>
          <w:sz w:val="32"/>
          <w:szCs w:val="32"/>
        </w:rPr>
        <w:t>共同努力</w:t>
      </w:r>
      <w:r>
        <w:rPr>
          <w:rFonts w:hint="eastAsia" w:ascii="仿宋_GB2312" w:hAnsi="宋体" w:eastAsia="仿宋_GB2312" w:cs="宋体"/>
          <w:color w:val="000000"/>
          <w:kern w:val="0"/>
          <w:sz w:val="32"/>
          <w:szCs w:val="32"/>
        </w:rPr>
        <w:t>，朝阳园科技创新发展思路愈加明确，科技干部队伍力量进一步增强，科技创新</w:t>
      </w:r>
      <w:r>
        <w:rPr>
          <w:rFonts w:ascii="仿宋_GB2312" w:hAnsi="宋体" w:eastAsia="仿宋_GB2312" w:cs="宋体"/>
          <w:color w:val="000000"/>
          <w:kern w:val="0"/>
          <w:sz w:val="32"/>
          <w:szCs w:val="32"/>
        </w:rPr>
        <w:t>政策</w:t>
      </w:r>
      <w:r>
        <w:rPr>
          <w:rFonts w:hint="eastAsia" w:ascii="仿宋_GB2312" w:hAnsi="宋体" w:eastAsia="仿宋_GB2312" w:cs="宋体"/>
          <w:color w:val="000000"/>
          <w:kern w:val="0"/>
          <w:sz w:val="32"/>
          <w:szCs w:val="32"/>
        </w:rPr>
        <w:t>更加</w:t>
      </w:r>
      <w:r>
        <w:rPr>
          <w:rFonts w:ascii="仿宋_GB2312" w:hAnsi="宋体" w:eastAsia="仿宋_GB2312" w:cs="宋体"/>
          <w:color w:val="000000"/>
          <w:kern w:val="0"/>
          <w:sz w:val="32"/>
          <w:szCs w:val="32"/>
        </w:rPr>
        <w:t>精准</w:t>
      </w:r>
      <w:r>
        <w:rPr>
          <w:rFonts w:hint="eastAsia" w:ascii="仿宋_GB2312" w:hAnsi="宋体" w:eastAsia="仿宋_GB2312" w:cs="宋体"/>
          <w:color w:val="000000"/>
          <w:kern w:val="0"/>
          <w:sz w:val="32"/>
          <w:szCs w:val="32"/>
        </w:rPr>
        <w:t>、</w:t>
      </w:r>
      <w:r>
        <w:rPr>
          <w:rFonts w:ascii="仿宋_GB2312" w:hAnsi="宋体" w:eastAsia="仿宋_GB2312" w:cs="宋体"/>
          <w:color w:val="000000"/>
          <w:kern w:val="0"/>
          <w:sz w:val="32"/>
          <w:szCs w:val="32"/>
        </w:rPr>
        <w:t>细化</w:t>
      </w:r>
      <w:r>
        <w:rPr>
          <w:rFonts w:hint="eastAsia" w:ascii="仿宋_GB2312" w:hAnsi="宋体" w:eastAsia="仿宋_GB2312" w:cs="宋体"/>
          <w:color w:val="000000"/>
          <w:kern w:val="0"/>
          <w:sz w:val="32"/>
          <w:szCs w:val="32"/>
        </w:rPr>
        <w:t>，企业服务日益周到、完善，有效提升了</w:t>
      </w:r>
      <w:r>
        <w:rPr>
          <w:rFonts w:ascii="仿宋_GB2312" w:hAnsi="宋体" w:eastAsia="仿宋_GB2312" w:cs="宋体"/>
          <w:color w:val="000000"/>
          <w:kern w:val="0"/>
          <w:sz w:val="32"/>
          <w:szCs w:val="32"/>
        </w:rPr>
        <w:t>区域发展环境和发展可持续性</w:t>
      </w:r>
      <w:r>
        <w:rPr>
          <w:rFonts w:hint="eastAsia" w:ascii="仿宋_GB2312" w:hAnsi="宋体" w:eastAsia="仿宋_GB2312" w:cs="宋体"/>
          <w:color w:val="000000"/>
          <w:kern w:val="0"/>
          <w:sz w:val="32"/>
          <w:szCs w:val="32"/>
        </w:rPr>
        <w:t>，增强了企业粘性，为实现北京科创中心建设、世界领先科技园区建设、“两区”建设和数字经济核心区建设提供了持续发展动能。</w:t>
      </w:r>
    </w:p>
    <w:p>
      <w:pPr>
        <w:spacing w:line="560" w:lineRule="exact"/>
        <w:ind w:left="105" w:leftChars="50" w:firstLine="643" w:firstLineChars="200"/>
        <w:rPr>
          <w:rFonts w:ascii="仿宋_GB2312" w:hAnsi="宋体" w:eastAsia="仿宋_GB2312" w:cs="宋体"/>
          <w:b/>
          <w:bCs w:val="0"/>
          <w:color w:val="000000"/>
          <w:kern w:val="0"/>
          <w:sz w:val="32"/>
          <w:szCs w:val="32"/>
        </w:rPr>
      </w:pPr>
      <w:r>
        <w:rPr>
          <w:rFonts w:hint="eastAsia" w:ascii="仿宋_GB2312" w:hAnsi="宋体" w:eastAsia="仿宋_GB2312" w:cs="宋体"/>
          <w:b/>
          <w:bCs w:val="0"/>
          <w:color w:val="000000"/>
          <w:kern w:val="0"/>
          <w:sz w:val="32"/>
          <w:szCs w:val="32"/>
          <w:lang w:val="en-US" w:eastAsia="zh-CN"/>
        </w:rPr>
        <w:t>5</w:t>
      </w:r>
      <w:r>
        <w:rPr>
          <w:rFonts w:hint="eastAsia" w:ascii="仿宋_GB2312" w:hAnsi="宋体" w:eastAsia="仿宋_GB2312" w:cs="宋体"/>
          <w:b/>
          <w:bCs w:val="0"/>
          <w:color w:val="000000"/>
          <w:kern w:val="0"/>
          <w:sz w:val="32"/>
          <w:szCs w:val="32"/>
        </w:rPr>
        <w:t>.服务对象</w:t>
      </w:r>
      <w:r>
        <w:rPr>
          <w:rFonts w:ascii="仿宋_GB2312" w:hAnsi="宋体" w:eastAsia="仿宋_GB2312" w:cs="宋体"/>
          <w:b/>
          <w:bCs w:val="0"/>
          <w:color w:val="000000"/>
          <w:kern w:val="0"/>
          <w:sz w:val="32"/>
          <w:szCs w:val="32"/>
        </w:rPr>
        <w:t>满意度</w:t>
      </w:r>
    </w:p>
    <w:p>
      <w:pPr>
        <w:spacing w:line="600" w:lineRule="exact"/>
        <w:ind w:left="105" w:leftChars="50" w:firstLine="480" w:firstLineChars="15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相关项目分别开展了服务对象满意度情况反馈，结果客观，对下一步项目工作的开展起到了重要作用。</w:t>
      </w:r>
    </w:p>
    <w:p>
      <w:pPr>
        <w:spacing w:line="600" w:lineRule="exact"/>
        <w:ind w:left="105" w:leftChars="50" w:firstLine="480" w:firstLineChars="150"/>
        <w:rPr>
          <w:rFonts w:ascii="黑体" w:hAnsi="黑体" w:eastAsia="黑体" w:cs="宋体"/>
          <w:color w:val="000000"/>
          <w:kern w:val="0"/>
          <w:sz w:val="32"/>
          <w:szCs w:val="32"/>
        </w:rPr>
      </w:pPr>
      <w:r>
        <w:rPr>
          <w:rFonts w:hint="eastAsia" w:ascii="黑体" w:hAnsi="黑体" w:eastAsia="黑体" w:cs="宋体"/>
          <w:color w:val="000000"/>
          <w:kern w:val="0"/>
          <w:sz w:val="32"/>
          <w:szCs w:val="32"/>
        </w:rPr>
        <w:t>四</w:t>
      </w:r>
      <w:r>
        <w:rPr>
          <w:rFonts w:ascii="黑体" w:hAnsi="黑体" w:eastAsia="黑体" w:cs="宋体"/>
          <w:color w:val="000000"/>
          <w:kern w:val="0"/>
          <w:sz w:val="32"/>
          <w:szCs w:val="32"/>
        </w:rPr>
        <w:t>、预算管理</w:t>
      </w:r>
      <w:r>
        <w:rPr>
          <w:rFonts w:hint="eastAsia" w:ascii="黑体" w:hAnsi="黑体" w:eastAsia="黑体" w:cs="宋体"/>
          <w:color w:val="000000"/>
          <w:kern w:val="0"/>
          <w:sz w:val="32"/>
          <w:szCs w:val="32"/>
        </w:rPr>
        <w:t>情况分</w:t>
      </w:r>
      <w:r>
        <w:rPr>
          <w:rFonts w:ascii="黑体" w:hAnsi="黑体" w:eastAsia="黑体" w:cs="宋体"/>
          <w:color w:val="000000"/>
          <w:kern w:val="0"/>
          <w:sz w:val="32"/>
          <w:szCs w:val="32"/>
        </w:rPr>
        <w:t>析</w:t>
      </w:r>
    </w:p>
    <w:p>
      <w:pPr>
        <w:spacing w:line="600" w:lineRule="exact"/>
        <w:ind w:left="105" w:leftChars="50" w:firstLine="482" w:firstLineChars="150"/>
        <w:rPr>
          <w:rFonts w:ascii="楷体_GB2312" w:eastAsia="楷体_GB2312"/>
          <w:b/>
          <w:bCs/>
          <w:sz w:val="32"/>
          <w:szCs w:val="32"/>
        </w:rPr>
      </w:pPr>
      <w:r>
        <w:rPr>
          <w:rFonts w:hint="eastAsia" w:ascii="楷体_GB2312" w:eastAsia="楷体_GB2312"/>
          <w:b/>
          <w:bCs/>
          <w:sz w:val="32"/>
          <w:szCs w:val="32"/>
        </w:rPr>
        <w:t>（一）财务管理</w:t>
      </w:r>
    </w:p>
    <w:p>
      <w:pPr>
        <w:spacing w:line="560" w:lineRule="exact"/>
        <w:ind w:left="105" w:leftChars="50" w:firstLine="643" w:firstLineChars="200"/>
        <w:rPr>
          <w:rFonts w:ascii="仿宋_GB2312" w:hAnsi="宋体" w:eastAsia="仿宋_GB2312" w:cs="宋体"/>
          <w:b/>
          <w:bCs w:val="0"/>
          <w:color w:val="000000"/>
          <w:kern w:val="0"/>
          <w:sz w:val="32"/>
          <w:szCs w:val="32"/>
        </w:rPr>
      </w:pPr>
      <w:r>
        <w:rPr>
          <w:rFonts w:hint="eastAsia" w:ascii="仿宋_GB2312" w:hAnsi="宋体" w:eastAsia="仿宋_GB2312" w:cs="宋体"/>
          <w:b/>
          <w:bCs w:val="0"/>
          <w:color w:val="000000"/>
          <w:kern w:val="0"/>
          <w:sz w:val="32"/>
          <w:szCs w:val="32"/>
        </w:rPr>
        <w:t>1.财务</w:t>
      </w:r>
      <w:r>
        <w:rPr>
          <w:rFonts w:ascii="仿宋_GB2312" w:hAnsi="宋体" w:eastAsia="仿宋_GB2312" w:cs="宋体"/>
          <w:b/>
          <w:bCs w:val="0"/>
          <w:color w:val="000000"/>
          <w:kern w:val="0"/>
          <w:sz w:val="32"/>
          <w:szCs w:val="32"/>
        </w:rPr>
        <w:t>管理制度健全性</w:t>
      </w:r>
    </w:p>
    <w:p>
      <w:pPr>
        <w:spacing w:line="560" w:lineRule="exact"/>
        <w:ind w:left="105" w:leftChars="50" w:firstLine="640" w:firstLineChars="200"/>
        <w:rPr>
          <w:rFonts w:ascii="仿宋_GB2312" w:hAnsi="宋体" w:eastAsia="仿宋_GB2312"/>
          <w:bCs/>
          <w:sz w:val="32"/>
          <w:szCs w:val="32"/>
        </w:rPr>
      </w:pPr>
      <w:r>
        <w:rPr>
          <w:rFonts w:hint="eastAsia" w:ascii="仿宋_GB2312" w:hAnsi="宋体" w:eastAsia="仿宋_GB2312"/>
          <w:bCs/>
          <w:sz w:val="32"/>
          <w:szCs w:val="32"/>
        </w:rPr>
        <w:t>2023年度机构合署办公后，本部门</w:t>
      </w:r>
      <w:r>
        <w:rPr>
          <w:rFonts w:hint="eastAsia" w:ascii="仿宋_GB2312" w:hAnsi="宋体" w:eastAsia="仿宋_GB2312"/>
          <w:bCs/>
          <w:sz w:val="32"/>
          <w:szCs w:val="32"/>
          <w:highlight w:val="none"/>
        </w:rPr>
        <w:t>全面建立包括</w:t>
      </w:r>
      <w:r>
        <w:rPr>
          <w:rFonts w:hint="eastAsia" w:ascii="仿宋_GB2312" w:hAnsi="宋体" w:eastAsia="仿宋_GB2312"/>
          <w:bCs/>
          <w:sz w:val="32"/>
          <w:szCs w:val="32"/>
          <w:highlight w:val="none"/>
          <w:lang w:val="en-US" w:eastAsia="zh-CN"/>
        </w:rPr>
        <w:t>财务管理办法、比选实施细则、公务卡管理实施办法、固定资产管理办法、合同管理办法、预决算管理办法、政府采购管理办法</w:t>
      </w:r>
      <w:r>
        <w:rPr>
          <w:rFonts w:hint="eastAsia" w:ascii="仿宋_GB2312" w:hAnsi="宋体" w:eastAsia="仿宋_GB2312"/>
          <w:bCs/>
          <w:sz w:val="32"/>
          <w:szCs w:val="32"/>
          <w:highlight w:val="none"/>
        </w:rPr>
        <w:t>等在内的全流程内部控制制度，按照</w:t>
      </w:r>
      <w:r>
        <w:rPr>
          <w:rFonts w:hint="eastAsia" w:ascii="仿宋_GB2312" w:hAnsi="宋体" w:eastAsia="仿宋_GB2312"/>
          <w:bCs/>
          <w:sz w:val="32"/>
          <w:szCs w:val="32"/>
        </w:rPr>
        <w:t>上级单位要求每年进行内部控制评价、编制年度内部控制报告，同时接受上级部门审计，根据审计发现的问题及本单位执行过程中发现的问题，不断完善本单位内部控制制度，达到管控风险的目的。</w:t>
      </w:r>
    </w:p>
    <w:p>
      <w:pPr>
        <w:spacing w:line="560" w:lineRule="exact"/>
        <w:ind w:left="105" w:leftChars="50" w:firstLine="643" w:firstLineChars="200"/>
        <w:rPr>
          <w:rFonts w:ascii="仿宋_GB2312" w:hAnsi="宋体" w:eastAsia="仿宋_GB2312" w:cs="宋体"/>
          <w:b/>
          <w:bCs w:val="0"/>
          <w:color w:val="000000"/>
          <w:kern w:val="0"/>
          <w:sz w:val="32"/>
          <w:szCs w:val="32"/>
        </w:rPr>
      </w:pPr>
      <w:r>
        <w:rPr>
          <w:rFonts w:hint="eastAsia" w:ascii="仿宋_GB2312" w:hAnsi="宋体" w:eastAsia="仿宋_GB2312" w:cs="宋体"/>
          <w:b/>
          <w:bCs w:val="0"/>
          <w:color w:val="000000"/>
          <w:kern w:val="0"/>
          <w:sz w:val="32"/>
          <w:szCs w:val="32"/>
        </w:rPr>
        <w:t>2.资金使用合规性</w:t>
      </w:r>
      <w:r>
        <w:rPr>
          <w:rFonts w:ascii="仿宋_GB2312" w:hAnsi="宋体" w:eastAsia="仿宋_GB2312" w:cs="宋体"/>
          <w:b/>
          <w:bCs w:val="0"/>
          <w:color w:val="000000"/>
          <w:kern w:val="0"/>
          <w:sz w:val="32"/>
          <w:szCs w:val="32"/>
        </w:rPr>
        <w:t>和安全性</w:t>
      </w:r>
    </w:p>
    <w:p>
      <w:pPr>
        <w:spacing w:line="560" w:lineRule="exact"/>
        <w:ind w:left="105" w:leftChars="50" w:firstLine="640" w:firstLineChars="200"/>
        <w:rPr>
          <w:rFonts w:ascii="仿宋_GB2312" w:hAnsi="宋体" w:eastAsia="仿宋_GB2312" w:cs="宋体"/>
          <w:bCs/>
          <w:color w:val="000000"/>
          <w:kern w:val="0"/>
          <w:sz w:val="32"/>
          <w:szCs w:val="32"/>
        </w:rPr>
      </w:pPr>
      <w:r>
        <w:rPr>
          <w:rFonts w:hint="eastAsia" w:eastAsia="仿宋_GB2312"/>
          <w:bCs/>
          <w:sz w:val="32"/>
          <w:szCs w:val="32"/>
        </w:rPr>
        <w:t>本</w:t>
      </w:r>
      <w:r>
        <w:rPr>
          <w:rFonts w:eastAsia="仿宋_GB2312"/>
          <w:bCs/>
          <w:sz w:val="32"/>
          <w:szCs w:val="32"/>
        </w:rPr>
        <w:t>部门严格贯彻执行国家有关法律、法规和财务规章制度，建立健全内部财务管理制度，合理统筹安排资金使用，各项支出均严格遵守行政单位经费管理有关规定，专款专用，节约使用各项资金</w:t>
      </w:r>
      <w:r>
        <w:rPr>
          <w:rFonts w:hint="eastAsia" w:eastAsia="仿宋_GB2312"/>
          <w:bCs/>
          <w:sz w:val="32"/>
          <w:szCs w:val="32"/>
        </w:rPr>
        <w:t>，</w:t>
      </w:r>
      <w:r>
        <w:rPr>
          <w:rFonts w:eastAsia="仿宋_GB2312"/>
          <w:bCs/>
          <w:sz w:val="32"/>
          <w:szCs w:val="32"/>
        </w:rPr>
        <w:t>确保各项资金安全</w:t>
      </w:r>
      <w:r>
        <w:rPr>
          <w:rFonts w:hint="eastAsia" w:eastAsia="仿宋_GB2312"/>
          <w:bCs/>
          <w:sz w:val="32"/>
          <w:szCs w:val="32"/>
        </w:rPr>
        <w:t>、</w:t>
      </w:r>
      <w:r>
        <w:rPr>
          <w:rFonts w:eastAsia="仿宋_GB2312"/>
          <w:bCs/>
          <w:sz w:val="32"/>
          <w:szCs w:val="32"/>
        </w:rPr>
        <w:t>合规</w:t>
      </w:r>
      <w:r>
        <w:rPr>
          <w:rFonts w:hint="eastAsia" w:eastAsia="仿宋_GB2312"/>
          <w:bCs/>
          <w:sz w:val="32"/>
          <w:szCs w:val="32"/>
        </w:rPr>
        <w:t>。</w:t>
      </w:r>
    </w:p>
    <w:p>
      <w:pPr>
        <w:spacing w:line="560" w:lineRule="exact"/>
        <w:ind w:left="105" w:leftChars="50" w:firstLine="643" w:firstLineChars="200"/>
        <w:rPr>
          <w:rFonts w:ascii="仿宋_GB2312" w:hAnsi="宋体" w:eastAsia="仿宋_GB2312" w:cs="宋体"/>
          <w:b/>
          <w:bCs w:val="0"/>
          <w:color w:val="000000"/>
          <w:kern w:val="0"/>
          <w:sz w:val="32"/>
          <w:szCs w:val="32"/>
        </w:rPr>
      </w:pPr>
      <w:r>
        <w:rPr>
          <w:rFonts w:ascii="仿宋_GB2312" w:hAnsi="宋体" w:eastAsia="仿宋_GB2312" w:cs="宋体"/>
          <w:b/>
          <w:bCs w:val="0"/>
          <w:color w:val="000000"/>
          <w:kern w:val="0"/>
          <w:sz w:val="32"/>
          <w:szCs w:val="32"/>
        </w:rPr>
        <w:t>3.</w:t>
      </w:r>
      <w:r>
        <w:rPr>
          <w:rFonts w:hint="eastAsia" w:ascii="仿宋_GB2312" w:hAnsi="宋体" w:eastAsia="仿宋_GB2312" w:cs="宋体"/>
          <w:b/>
          <w:bCs w:val="0"/>
          <w:color w:val="000000"/>
          <w:kern w:val="0"/>
          <w:sz w:val="32"/>
          <w:szCs w:val="32"/>
        </w:rPr>
        <w:t>会计</w:t>
      </w:r>
      <w:r>
        <w:rPr>
          <w:rFonts w:ascii="仿宋_GB2312" w:hAnsi="宋体" w:eastAsia="仿宋_GB2312" w:cs="宋体"/>
          <w:b/>
          <w:bCs w:val="0"/>
          <w:color w:val="000000"/>
          <w:kern w:val="0"/>
          <w:sz w:val="32"/>
          <w:szCs w:val="32"/>
        </w:rPr>
        <w:t>基础信息完善性</w:t>
      </w:r>
    </w:p>
    <w:p>
      <w:pPr>
        <w:spacing w:line="560" w:lineRule="exact"/>
        <w:ind w:left="105" w:leftChars="50" w:firstLine="640" w:firstLineChars="200"/>
        <w:rPr>
          <w:rFonts w:ascii="仿宋_GB2312" w:hAnsi="宋体" w:eastAsia="仿宋_GB2312" w:cs="宋体"/>
          <w:bCs/>
          <w:color w:val="000000"/>
          <w:kern w:val="0"/>
          <w:sz w:val="32"/>
          <w:szCs w:val="32"/>
        </w:rPr>
      </w:pPr>
      <w:r>
        <w:rPr>
          <w:rFonts w:hint="eastAsia" w:eastAsia="仿宋_GB2312"/>
          <w:bCs/>
          <w:sz w:val="32"/>
          <w:szCs w:val="32"/>
        </w:rPr>
        <w:t>本</w:t>
      </w:r>
      <w:r>
        <w:rPr>
          <w:rFonts w:eastAsia="仿宋_GB2312"/>
          <w:bCs/>
          <w:sz w:val="32"/>
          <w:szCs w:val="32"/>
        </w:rPr>
        <w:t>部门严格按照《预算法》</w:t>
      </w:r>
      <w:r>
        <w:rPr>
          <w:rFonts w:hint="eastAsia" w:eastAsia="仿宋_GB2312"/>
          <w:bCs/>
          <w:sz w:val="32"/>
          <w:szCs w:val="32"/>
        </w:rPr>
        <w:t>、</w:t>
      </w:r>
      <w:r>
        <w:rPr>
          <w:rFonts w:eastAsia="仿宋_GB2312"/>
          <w:bCs/>
          <w:sz w:val="32"/>
          <w:szCs w:val="32"/>
        </w:rPr>
        <w:t>《202</w:t>
      </w:r>
      <w:r>
        <w:rPr>
          <w:rFonts w:hint="eastAsia" w:eastAsia="仿宋_GB2312"/>
          <w:bCs/>
          <w:sz w:val="32"/>
          <w:szCs w:val="32"/>
        </w:rPr>
        <w:t>3</w:t>
      </w:r>
      <w:r>
        <w:rPr>
          <w:rFonts w:eastAsia="仿宋_GB2312"/>
          <w:bCs/>
          <w:sz w:val="32"/>
          <w:szCs w:val="32"/>
        </w:rPr>
        <w:t>年政府收支分类科目》和《政府会计制度》等规章制度进行财务核算，准确填制收支记账科目</w:t>
      </w:r>
      <w:r>
        <w:rPr>
          <w:rFonts w:hint="eastAsia" w:eastAsia="仿宋_GB2312"/>
          <w:bCs/>
          <w:sz w:val="32"/>
          <w:szCs w:val="32"/>
        </w:rPr>
        <w:t>、</w:t>
      </w:r>
      <w:r>
        <w:rPr>
          <w:rFonts w:eastAsia="仿宋_GB2312"/>
          <w:bCs/>
          <w:sz w:val="32"/>
          <w:szCs w:val="32"/>
        </w:rPr>
        <w:t>金额和用途，相关附件清晰</w:t>
      </w:r>
      <w:r>
        <w:rPr>
          <w:rFonts w:hint="eastAsia" w:eastAsia="仿宋_GB2312"/>
          <w:bCs/>
          <w:sz w:val="32"/>
          <w:szCs w:val="32"/>
        </w:rPr>
        <w:t>、</w:t>
      </w:r>
      <w:r>
        <w:rPr>
          <w:rFonts w:eastAsia="仿宋_GB2312"/>
          <w:bCs/>
          <w:sz w:val="32"/>
          <w:szCs w:val="32"/>
        </w:rPr>
        <w:t>完整</w:t>
      </w:r>
      <w:r>
        <w:rPr>
          <w:rFonts w:hint="eastAsia" w:eastAsia="仿宋_GB2312"/>
          <w:bCs/>
          <w:sz w:val="32"/>
          <w:szCs w:val="32"/>
        </w:rPr>
        <w:t>，领导</w:t>
      </w:r>
      <w:r>
        <w:rPr>
          <w:rFonts w:eastAsia="仿宋_GB2312"/>
          <w:bCs/>
          <w:sz w:val="32"/>
          <w:szCs w:val="32"/>
        </w:rPr>
        <w:t>逐级审核签字完整</w:t>
      </w:r>
      <w:r>
        <w:rPr>
          <w:rFonts w:hint="eastAsia" w:eastAsia="仿宋_GB2312"/>
          <w:bCs/>
          <w:sz w:val="32"/>
          <w:szCs w:val="32"/>
        </w:rPr>
        <w:t>，能够全面、真实、有效反映我部门收支情况和</w:t>
      </w:r>
      <w:r>
        <w:rPr>
          <w:rFonts w:eastAsia="仿宋_GB2312"/>
          <w:bCs/>
          <w:sz w:val="32"/>
          <w:szCs w:val="32"/>
        </w:rPr>
        <w:t>资产负债状况</w:t>
      </w:r>
      <w:r>
        <w:rPr>
          <w:rFonts w:hint="eastAsia" w:eastAsia="仿宋_GB2312"/>
          <w:bCs/>
          <w:sz w:val="32"/>
          <w:szCs w:val="32"/>
        </w:rPr>
        <w:t>。</w:t>
      </w:r>
    </w:p>
    <w:p>
      <w:pPr>
        <w:spacing w:line="560" w:lineRule="exact"/>
        <w:ind w:left="105" w:leftChars="50" w:firstLine="643" w:firstLineChars="200"/>
        <w:rPr>
          <w:rFonts w:ascii="楷体_GB2312" w:eastAsia="楷体_GB2312"/>
          <w:b/>
          <w:bCs w:val="0"/>
          <w:sz w:val="32"/>
          <w:szCs w:val="32"/>
        </w:rPr>
      </w:pPr>
      <w:r>
        <w:rPr>
          <w:rFonts w:hint="eastAsia" w:ascii="楷体_GB2312" w:eastAsia="楷体_GB2312"/>
          <w:b/>
          <w:bCs w:val="0"/>
          <w:sz w:val="32"/>
          <w:szCs w:val="32"/>
        </w:rPr>
        <w:t>（二）资产管理</w:t>
      </w:r>
    </w:p>
    <w:p>
      <w:pPr>
        <w:spacing w:line="560" w:lineRule="exact"/>
        <w:ind w:left="105" w:leftChars="50" w:firstLine="640" w:firstLineChars="200"/>
        <w:rPr>
          <w:rFonts w:ascii="仿宋_GB2312" w:hAnsi="宋体" w:eastAsia="仿宋_GB2312"/>
          <w:bCs/>
          <w:sz w:val="32"/>
          <w:szCs w:val="32"/>
        </w:rPr>
      </w:pPr>
      <w:r>
        <w:rPr>
          <w:rFonts w:hint="eastAsia" w:ascii="仿宋_GB2312" w:hAnsi="宋体" w:eastAsia="仿宋_GB2312"/>
          <w:bCs/>
          <w:sz w:val="32"/>
          <w:szCs w:val="32"/>
        </w:rPr>
        <w:t xml:space="preserve">本部门建立健全各项资产制度及管理办法，严格执行现金管理条例、公务卡管理制度，规范固定资产管理，注重做好新增资产的建账入库、资产核销报废和调拨等资产管理工作。 </w:t>
      </w:r>
    </w:p>
    <w:p>
      <w:pPr>
        <w:spacing w:line="560" w:lineRule="exact"/>
        <w:ind w:left="105" w:leftChars="50" w:firstLine="643" w:firstLineChars="200"/>
        <w:rPr>
          <w:rFonts w:ascii="楷体_GB2312" w:eastAsia="楷体_GB2312"/>
          <w:b/>
          <w:bCs w:val="0"/>
          <w:sz w:val="32"/>
          <w:szCs w:val="32"/>
        </w:rPr>
      </w:pPr>
      <w:r>
        <w:rPr>
          <w:rFonts w:hint="eastAsia" w:ascii="楷体_GB2312" w:eastAsia="楷体_GB2312"/>
          <w:b/>
          <w:bCs w:val="0"/>
          <w:sz w:val="32"/>
          <w:szCs w:val="32"/>
        </w:rPr>
        <w:t>（三）绩效</w:t>
      </w:r>
      <w:r>
        <w:rPr>
          <w:rFonts w:ascii="楷体_GB2312" w:eastAsia="楷体_GB2312"/>
          <w:b/>
          <w:bCs w:val="0"/>
          <w:sz w:val="32"/>
          <w:szCs w:val="32"/>
        </w:rPr>
        <w:t>管理</w:t>
      </w:r>
    </w:p>
    <w:p>
      <w:pPr>
        <w:spacing w:line="560" w:lineRule="exact"/>
        <w:ind w:left="105" w:leftChars="50" w:firstLine="640" w:firstLineChars="200"/>
        <w:rPr>
          <w:rFonts w:ascii="楷体_GB2312" w:eastAsia="楷体_GB2312"/>
          <w:sz w:val="32"/>
          <w:szCs w:val="32"/>
        </w:rPr>
      </w:pPr>
      <w:r>
        <w:rPr>
          <w:rFonts w:hint="eastAsia" w:ascii="仿宋_GB2312" w:hAnsi="宋体" w:eastAsia="仿宋_GB2312"/>
          <w:sz w:val="32"/>
          <w:szCs w:val="32"/>
        </w:rPr>
        <w:t>本部门根据上级部门有关要求开展绩效管理，对所有项目支出均实行全面绩效管理，年初申报预算时制定科学合理绩效目标，年中对项目支出绩效情况进行监控，次年初对上年各预算项目绩效完成情况进行自评；同时参考每月9月项目绩效完成情况，合理调整次年项目预算，切实</w:t>
      </w:r>
      <w:r>
        <w:rPr>
          <w:rFonts w:hint="eastAsia" w:ascii="仿宋_GB2312" w:eastAsia="仿宋_GB2312"/>
          <w:sz w:val="32"/>
          <w:szCs w:val="32"/>
        </w:rPr>
        <w:t>提高财政资源配置效率</w:t>
      </w:r>
      <w:r>
        <w:rPr>
          <w:rFonts w:hint="eastAsia" w:ascii="仿宋_GB2312" w:hAnsi="宋体" w:eastAsia="仿宋_GB2312"/>
          <w:sz w:val="32"/>
          <w:szCs w:val="32"/>
        </w:rPr>
        <w:t>。注重</w:t>
      </w:r>
      <w:r>
        <w:rPr>
          <w:rFonts w:hint="eastAsia" w:ascii="仿宋_GB2312" w:eastAsia="仿宋_GB2312"/>
          <w:sz w:val="32"/>
          <w:szCs w:val="32"/>
        </w:rPr>
        <w:t>配合同级财政部门做好重大项目资金事前和事后绩效评价工作，对绩效评价反馈的问题，切实制定整改措施，立行立改，不断提高资金使用效益。</w:t>
      </w:r>
    </w:p>
    <w:p>
      <w:pPr>
        <w:spacing w:line="560" w:lineRule="exact"/>
        <w:ind w:left="105" w:leftChars="50" w:firstLine="643" w:firstLineChars="200"/>
        <w:rPr>
          <w:rFonts w:ascii="楷体_GB2312" w:eastAsia="楷体_GB2312"/>
          <w:b/>
          <w:bCs w:val="0"/>
          <w:sz w:val="32"/>
          <w:szCs w:val="32"/>
        </w:rPr>
      </w:pPr>
      <w:r>
        <w:rPr>
          <w:rFonts w:hint="eastAsia" w:ascii="楷体_GB2312" w:eastAsia="楷体_GB2312"/>
          <w:b/>
          <w:bCs w:val="0"/>
          <w:sz w:val="32"/>
          <w:szCs w:val="32"/>
        </w:rPr>
        <w:t>（四）结转结余率</w:t>
      </w:r>
    </w:p>
    <w:p>
      <w:pPr>
        <w:spacing w:line="560" w:lineRule="exact"/>
        <w:ind w:left="105" w:leftChars="50" w:firstLine="640" w:firstLineChars="200"/>
        <w:rPr>
          <w:rFonts w:ascii="仿宋_GB2312" w:hAnsi="宋体" w:eastAsia="仿宋_GB2312"/>
          <w:bCs/>
          <w:sz w:val="32"/>
          <w:szCs w:val="32"/>
        </w:rPr>
      </w:pPr>
      <w:r>
        <w:rPr>
          <w:rFonts w:hint="eastAsia" w:eastAsia="仿宋_GB2312"/>
          <w:bCs/>
          <w:sz w:val="32"/>
          <w:szCs w:val="32"/>
        </w:rPr>
        <w:t>本</w:t>
      </w:r>
      <w:r>
        <w:rPr>
          <w:rFonts w:ascii="仿宋_GB2312" w:hAnsi="宋体" w:eastAsia="仿宋_GB2312"/>
          <w:bCs/>
          <w:sz w:val="32"/>
          <w:szCs w:val="32"/>
        </w:rPr>
        <w:t>部门</w:t>
      </w:r>
      <w:r>
        <w:rPr>
          <w:rFonts w:hint="eastAsia" w:ascii="仿宋_GB2312" w:hAnsi="宋体" w:eastAsia="仿宋_GB2312"/>
          <w:bCs/>
          <w:sz w:val="32"/>
          <w:szCs w:val="32"/>
        </w:rPr>
        <w:t>2023</w:t>
      </w:r>
      <w:r>
        <w:rPr>
          <w:rFonts w:ascii="仿宋_GB2312" w:hAnsi="宋体" w:eastAsia="仿宋_GB2312"/>
          <w:bCs/>
          <w:sz w:val="32"/>
          <w:szCs w:val="32"/>
        </w:rPr>
        <w:t>年无结转结余资金</w:t>
      </w:r>
      <w:r>
        <w:rPr>
          <w:rFonts w:hint="eastAsia" w:ascii="仿宋_GB2312" w:hAnsi="宋体" w:eastAsia="仿宋_GB2312"/>
          <w:bCs/>
          <w:sz w:val="32"/>
          <w:szCs w:val="32"/>
        </w:rPr>
        <w:t>。</w:t>
      </w:r>
    </w:p>
    <w:p>
      <w:pPr>
        <w:spacing w:line="560" w:lineRule="exact"/>
        <w:ind w:left="105" w:leftChars="50" w:firstLine="643" w:firstLineChars="200"/>
        <w:rPr>
          <w:rFonts w:ascii="楷体_GB2312" w:eastAsia="楷体_GB2312"/>
          <w:b/>
          <w:bCs w:val="0"/>
          <w:sz w:val="32"/>
          <w:szCs w:val="32"/>
        </w:rPr>
      </w:pPr>
      <w:r>
        <w:rPr>
          <w:rFonts w:hint="eastAsia" w:ascii="楷体_GB2312" w:eastAsia="楷体_GB2312"/>
          <w:b/>
          <w:bCs w:val="0"/>
          <w:sz w:val="32"/>
          <w:szCs w:val="32"/>
        </w:rPr>
        <w:t>（五）部门</w:t>
      </w:r>
      <w:r>
        <w:rPr>
          <w:rFonts w:ascii="楷体_GB2312" w:eastAsia="楷体_GB2312"/>
          <w:b/>
          <w:bCs w:val="0"/>
          <w:sz w:val="32"/>
          <w:szCs w:val="32"/>
        </w:rPr>
        <w:t>预决算差异率</w:t>
      </w:r>
    </w:p>
    <w:p>
      <w:pPr>
        <w:spacing w:line="600" w:lineRule="exact"/>
        <w:ind w:left="105" w:leftChars="50" w:firstLine="480" w:firstLineChars="150"/>
        <w:rPr>
          <w:rFonts w:hint="eastAsia" w:ascii="楷体_GB2312" w:eastAsia="仿宋_GB2312"/>
          <w:sz w:val="32"/>
          <w:szCs w:val="32"/>
          <w:lang w:eastAsia="zh-CN"/>
        </w:rPr>
      </w:pPr>
      <w:r>
        <w:rPr>
          <w:rFonts w:hint="eastAsia" w:ascii="仿宋_GB2312" w:hAnsi="宋体" w:eastAsia="仿宋_GB2312"/>
          <w:sz w:val="32"/>
          <w:szCs w:val="32"/>
        </w:rPr>
        <w:t>本部门2023年基本</w:t>
      </w:r>
      <w:r>
        <w:rPr>
          <w:rFonts w:hint="eastAsia" w:ascii="仿宋_GB2312" w:hAnsi="宋体" w:eastAsia="仿宋_GB2312"/>
          <w:sz w:val="32"/>
          <w:szCs w:val="32"/>
          <w:lang w:val="en-US" w:eastAsia="zh-CN"/>
        </w:rPr>
        <w:t>支出年初</w:t>
      </w:r>
      <w:r>
        <w:rPr>
          <w:rFonts w:hint="eastAsia" w:ascii="仿宋_GB2312" w:hAnsi="宋体" w:eastAsia="仿宋_GB2312"/>
          <w:sz w:val="32"/>
          <w:szCs w:val="32"/>
        </w:rPr>
        <w:t>预算1425.22万元，决算基本</w:t>
      </w:r>
      <w:r>
        <w:rPr>
          <w:rFonts w:hint="eastAsia" w:ascii="仿宋_GB2312" w:hAnsi="宋体" w:eastAsia="仿宋_GB2312"/>
          <w:sz w:val="32"/>
          <w:szCs w:val="32"/>
          <w:lang w:val="en-US" w:eastAsia="zh-CN"/>
        </w:rPr>
        <w:t>支出</w:t>
      </w:r>
      <w:r>
        <w:rPr>
          <w:rFonts w:hint="eastAsia" w:ascii="仿宋_GB2312" w:hAnsi="宋体" w:eastAsia="仿宋_GB2312"/>
          <w:sz w:val="32"/>
          <w:szCs w:val="32"/>
        </w:rPr>
        <w:t>收入1520.33万元，实际支出1520.33万元，增幅6.67%。主要原因为是新招录工作人员，导致人员经费收支增加。2023年项目</w:t>
      </w:r>
      <w:r>
        <w:rPr>
          <w:rFonts w:hint="eastAsia" w:ascii="仿宋_GB2312" w:hAnsi="宋体" w:eastAsia="仿宋_GB2312"/>
          <w:sz w:val="32"/>
          <w:szCs w:val="32"/>
          <w:lang w:val="en-US" w:eastAsia="zh-CN"/>
        </w:rPr>
        <w:t>支出年初</w:t>
      </w:r>
      <w:r>
        <w:rPr>
          <w:rFonts w:hint="eastAsia" w:ascii="仿宋_GB2312" w:hAnsi="宋体" w:eastAsia="仿宋_GB2312"/>
          <w:sz w:val="32"/>
          <w:szCs w:val="32"/>
        </w:rPr>
        <w:t>预算25272.09万元，决算项目</w:t>
      </w:r>
      <w:r>
        <w:rPr>
          <w:rFonts w:hint="eastAsia" w:ascii="仿宋_GB2312" w:hAnsi="宋体" w:eastAsia="仿宋_GB2312"/>
          <w:sz w:val="32"/>
          <w:szCs w:val="32"/>
          <w:lang w:val="en-US" w:eastAsia="zh-CN"/>
        </w:rPr>
        <w:t>支出</w:t>
      </w:r>
      <w:r>
        <w:rPr>
          <w:rFonts w:hint="eastAsia" w:ascii="仿宋_GB2312" w:hAnsi="宋体" w:eastAsia="仿宋_GB2312"/>
          <w:sz w:val="32"/>
          <w:szCs w:val="32"/>
        </w:rPr>
        <w:t>收入31376.73万元，实际支出31376.73万元，增幅24.16%。主要原因为:</w:t>
      </w:r>
      <w:r>
        <w:rPr>
          <w:rFonts w:hint="eastAsia" w:ascii="仿宋_GB2312" w:hAnsi="仿宋" w:eastAsia="仿宋_GB2312"/>
          <w:sz w:val="32"/>
          <w:szCs w:val="32"/>
        </w:rPr>
        <w:t>机构职能调整，调入区发改委部分职能，原有预算一并调整至本部门</w:t>
      </w:r>
      <w:r>
        <w:rPr>
          <w:rFonts w:hint="eastAsia" w:ascii="仿宋_GB2312" w:hAnsi="仿宋" w:eastAsia="仿宋_GB2312"/>
          <w:sz w:val="32"/>
          <w:szCs w:val="32"/>
          <w:lang w:eastAsia="zh-CN"/>
        </w:rPr>
        <w:t>。</w:t>
      </w:r>
    </w:p>
    <w:p>
      <w:pPr>
        <w:spacing w:line="600" w:lineRule="exact"/>
        <w:ind w:left="105" w:leftChars="50" w:firstLine="480" w:firstLineChars="150"/>
        <w:rPr>
          <w:rFonts w:ascii="黑体" w:hAnsi="黑体" w:eastAsia="黑体"/>
          <w:sz w:val="32"/>
          <w:szCs w:val="32"/>
        </w:rPr>
      </w:pPr>
      <w:r>
        <w:rPr>
          <w:rFonts w:hint="eastAsia" w:ascii="黑体" w:hAnsi="黑体" w:eastAsia="黑体"/>
          <w:sz w:val="32"/>
          <w:szCs w:val="32"/>
        </w:rPr>
        <w:t>五、总体</w:t>
      </w:r>
      <w:r>
        <w:rPr>
          <w:rFonts w:ascii="黑体" w:hAnsi="黑体" w:eastAsia="黑体"/>
          <w:sz w:val="32"/>
          <w:szCs w:val="32"/>
        </w:rPr>
        <w:t>评价结论</w:t>
      </w:r>
    </w:p>
    <w:p>
      <w:pPr>
        <w:spacing w:line="560" w:lineRule="exact"/>
        <w:ind w:left="105" w:leftChars="50" w:firstLine="643" w:firstLineChars="200"/>
        <w:rPr>
          <w:rFonts w:ascii="楷体_GB2312" w:eastAsia="楷体_GB2312"/>
          <w:b/>
          <w:bCs w:val="0"/>
          <w:sz w:val="32"/>
          <w:szCs w:val="32"/>
        </w:rPr>
      </w:pPr>
      <w:r>
        <w:rPr>
          <w:rFonts w:hint="eastAsia" w:ascii="楷体_GB2312" w:eastAsia="楷体_GB2312"/>
          <w:b/>
          <w:bCs w:val="0"/>
          <w:sz w:val="32"/>
          <w:szCs w:val="32"/>
        </w:rPr>
        <w:t>（一）评价</w:t>
      </w:r>
      <w:r>
        <w:rPr>
          <w:rFonts w:ascii="楷体_GB2312" w:eastAsia="楷体_GB2312"/>
          <w:b/>
          <w:bCs w:val="0"/>
          <w:sz w:val="32"/>
          <w:szCs w:val="32"/>
        </w:rPr>
        <w:t>得分</w:t>
      </w:r>
      <w:r>
        <w:rPr>
          <w:rFonts w:hint="eastAsia" w:ascii="楷体_GB2312" w:eastAsia="楷体_GB2312"/>
          <w:b/>
          <w:bCs w:val="0"/>
          <w:sz w:val="32"/>
          <w:szCs w:val="32"/>
        </w:rPr>
        <w:t>情况</w:t>
      </w:r>
    </w:p>
    <w:p>
      <w:pPr>
        <w:spacing w:line="560" w:lineRule="exact"/>
        <w:ind w:left="105" w:leftChars="50" w:firstLine="640" w:firstLineChars="200"/>
        <w:rPr>
          <w:rFonts w:ascii="仿宋_GB2312" w:hAnsi="宋体" w:eastAsia="仿宋_GB2312"/>
          <w:bCs/>
          <w:sz w:val="32"/>
          <w:szCs w:val="32"/>
        </w:rPr>
      </w:pPr>
      <w:r>
        <w:rPr>
          <w:rFonts w:hint="eastAsia" w:ascii="仿宋_GB2312" w:hAnsi="宋体" w:eastAsia="仿宋_GB2312"/>
          <w:bCs/>
          <w:sz w:val="32"/>
          <w:szCs w:val="32"/>
        </w:rPr>
        <w:t>2023年我部门总体预算执行率100%，</w:t>
      </w:r>
      <w:r>
        <w:rPr>
          <w:rFonts w:ascii="仿宋_GB2312" w:hAnsi="宋体" w:eastAsia="仿宋_GB2312"/>
          <w:bCs/>
          <w:sz w:val="32"/>
          <w:szCs w:val="32"/>
        </w:rPr>
        <w:t>总体得分为</w:t>
      </w:r>
      <w:r>
        <w:rPr>
          <w:rFonts w:hint="eastAsia" w:ascii="仿宋_GB2312" w:hAnsi="宋体" w:eastAsia="仿宋_GB2312"/>
          <w:bCs/>
          <w:sz w:val="32"/>
          <w:szCs w:val="32"/>
        </w:rPr>
        <w:t>100。</w:t>
      </w:r>
    </w:p>
    <w:p>
      <w:pPr>
        <w:spacing w:line="560" w:lineRule="exact"/>
        <w:ind w:left="105" w:leftChars="50" w:firstLine="643" w:firstLineChars="200"/>
        <w:rPr>
          <w:rFonts w:ascii="楷体_GB2312" w:eastAsia="楷体_GB2312"/>
          <w:b/>
          <w:bCs w:val="0"/>
          <w:sz w:val="32"/>
          <w:szCs w:val="32"/>
        </w:rPr>
      </w:pPr>
      <w:r>
        <w:rPr>
          <w:rFonts w:hint="eastAsia" w:ascii="楷体_GB2312" w:eastAsia="楷体_GB2312"/>
          <w:b/>
          <w:bCs w:val="0"/>
          <w:sz w:val="32"/>
          <w:szCs w:val="32"/>
        </w:rPr>
        <w:t>（二）存在的问题及原因分析</w:t>
      </w:r>
    </w:p>
    <w:p>
      <w:pPr>
        <w:spacing w:line="560" w:lineRule="exact"/>
        <w:ind w:left="105" w:leftChars="50" w:firstLine="640" w:firstLineChars="200"/>
        <w:rPr>
          <w:rFonts w:ascii="楷体_GB2312" w:eastAsia="楷体_GB2312"/>
          <w:sz w:val="32"/>
          <w:szCs w:val="32"/>
          <w:highlight w:val="none"/>
        </w:rPr>
      </w:pPr>
      <w:r>
        <w:rPr>
          <w:rFonts w:hint="eastAsia" w:ascii="仿宋_GB2312" w:hAnsi="宋体" w:eastAsia="仿宋_GB2312"/>
          <w:sz w:val="32"/>
          <w:szCs w:val="32"/>
          <w:highlight w:val="none"/>
          <w:lang w:val="en-US" w:eastAsia="zh-CN"/>
        </w:rPr>
        <w:t>因2023年初科信局与朝阳园管委会合署办公，导致部分项目支付进度稍有延后，但完成合并后陆续完成支付任务，最终在年底前完成支付进度，总体预算执行率达到100%</w:t>
      </w:r>
      <w:r>
        <w:rPr>
          <w:rFonts w:hint="eastAsia" w:ascii="仿宋_GB2312" w:hAnsi="宋体" w:eastAsia="仿宋_GB2312"/>
          <w:sz w:val="32"/>
          <w:szCs w:val="32"/>
          <w:highlight w:val="none"/>
        </w:rPr>
        <w:t>。</w:t>
      </w:r>
    </w:p>
    <w:p>
      <w:pPr>
        <w:spacing w:line="600" w:lineRule="exact"/>
        <w:ind w:firstLine="640" w:firstLineChars="200"/>
        <w:rPr>
          <w:rFonts w:ascii="黑体" w:hAnsi="黑体" w:eastAsia="黑体" w:cs="宋体"/>
          <w:color w:val="000000"/>
          <w:kern w:val="0"/>
          <w:sz w:val="32"/>
          <w:szCs w:val="32"/>
          <w:highlight w:val="none"/>
        </w:rPr>
      </w:pPr>
      <w:r>
        <w:rPr>
          <w:rFonts w:hint="eastAsia" w:ascii="黑体" w:hAnsi="黑体" w:eastAsia="黑体" w:cs="宋体"/>
          <w:color w:val="000000"/>
          <w:kern w:val="0"/>
          <w:sz w:val="32"/>
          <w:szCs w:val="32"/>
          <w:highlight w:val="none"/>
        </w:rPr>
        <w:t>六、措施建议</w:t>
      </w:r>
    </w:p>
    <w:p>
      <w:pPr>
        <w:spacing w:line="560" w:lineRule="exact"/>
        <w:ind w:left="105" w:leftChars="50"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针对上述问题，我部门拟采取如下措施</w:t>
      </w:r>
      <w:r>
        <w:rPr>
          <w:rFonts w:hint="eastAsia" w:ascii="仿宋_GB2312" w:hAnsi="宋体" w:eastAsia="仿宋_GB2312"/>
          <w:sz w:val="32"/>
          <w:szCs w:val="32"/>
          <w:highlight w:val="none"/>
          <w:lang w:eastAsia="zh-CN"/>
        </w:rPr>
        <w:t>：</w:t>
      </w:r>
      <w:r>
        <w:rPr>
          <w:rFonts w:hint="eastAsia" w:ascii="仿宋_GB2312" w:hAnsi="宋体" w:eastAsia="仿宋_GB2312"/>
          <w:sz w:val="32"/>
          <w:szCs w:val="32"/>
          <w:highlight w:val="none"/>
        </w:rPr>
        <w:t>一是增强预算编制科学性，注重论证项目实施条件、可行性和风险性。二是综合考虑项目工作量、实施方式和人员配置，提前谋划制定可替代方案。三是进一步增强对预算项目执行监控，及时发现解决项目执行过程中遇到的问题，确保项目能够顺利实施。</w:t>
      </w:r>
    </w:p>
    <w:p>
      <w:pPr>
        <w:spacing w:line="560" w:lineRule="exact"/>
        <w:ind w:left="105" w:leftChars="50" w:firstLine="640" w:firstLineChars="200"/>
        <w:rPr>
          <w:rFonts w:ascii="仿宋_GB2312" w:hAnsi="宋体" w:eastAsia="仿宋_GB2312"/>
          <w:sz w:val="32"/>
          <w:szCs w:val="32"/>
        </w:rPr>
      </w:pPr>
    </w:p>
    <w:p>
      <w:pPr>
        <w:spacing w:line="560" w:lineRule="exact"/>
        <w:ind w:left="105" w:leftChars="50" w:firstLine="640" w:firstLineChars="200"/>
        <w:rPr>
          <w:rFonts w:ascii="仿宋_GB2312" w:hAnsi="宋体" w:eastAsia="仿宋_GB2312"/>
          <w:sz w:val="32"/>
          <w:szCs w:val="32"/>
        </w:rPr>
      </w:pPr>
    </w:p>
    <w:p>
      <w:pPr>
        <w:spacing w:line="560" w:lineRule="exact"/>
        <w:ind w:left="105" w:leftChars="50" w:firstLine="640" w:firstLineChars="200"/>
        <w:jc w:val="center"/>
        <w:rPr>
          <w:rFonts w:ascii="仿宋_GB2312" w:hAnsi="宋体" w:eastAsia="仿宋_GB2312"/>
          <w:sz w:val="32"/>
          <w:szCs w:val="32"/>
        </w:rPr>
      </w:pPr>
      <w:r>
        <w:rPr>
          <w:rFonts w:hint="eastAsia" w:ascii="仿宋_GB2312" w:hAnsi="宋体" w:eastAsia="仿宋_GB2312"/>
          <w:sz w:val="32"/>
          <w:szCs w:val="32"/>
        </w:rPr>
        <w:t xml:space="preserve">                 北京市朝阳区科学技术和信息化局</w:t>
      </w:r>
    </w:p>
    <w:p>
      <w:pPr>
        <w:spacing w:line="560" w:lineRule="exact"/>
        <w:ind w:left="105" w:leftChars="50" w:firstLine="640" w:firstLineChars="200"/>
        <w:jc w:val="center"/>
      </w:pPr>
      <w:r>
        <w:rPr>
          <w:rFonts w:hint="eastAsia" w:ascii="仿宋_GB2312" w:hAnsi="宋体" w:eastAsia="仿宋_GB2312"/>
          <w:sz w:val="32"/>
          <w:szCs w:val="32"/>
          <w:lang w:val="en-US" w:eastAsia="zh-CN"/>
        </w:rPr>
        <w:t xml:space="preserve">                </w:t>
      </w:r>
      <w:r>
        <w:rPr>
          <w:rFonts w:hint="eastAsia" w:ascii="仿宋_GB2312" w:hAnsi="宋体" w:eastAsia="仿宋_GB2312"/>
          <w:sz w:val="32"/>
          <w:szCs w:val="32"/>
        </w:rPr>
        <w:t>2024年3月20日</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B919617-19F0-4190-9095-EA6EBCE94FD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691716C9-E550-4F42-8F95-8986A97C6198}"/>
  </w:font>
  <w:font w:name="方正小标宋简体">
    <w:panose1 w:val="02000000000000000000"/>
    <w:charset w:val="86"/>
    <w:family w:val="script"/>
    <w:pitch w:val="default"/>
    <w:sig w:usb0="00000001" w:usb1="08000000" w:usb2="00000000" w:usb3="00000000" w:csb0="00040000" w:csb1="00000000"/>
    <w:embedRegular r:id="rId3" w:fontKey="{99659EC1-F36D-401F-B2CD-D68B99794BE3}"/>
  </w:font>
  <w:font w:name="楷体_GB2312">
    <w:panose1 w:val="02010609030101010101"/>
    <w:charset w:val="86"/>
    <w:family w:val="modern"/>
    <w:pitch w:val="default"/>
    <w:sig w:usb0="00000001" w:usb1="080E0000" w:usb2="00000000" w:usb3="00000000" w:csb0="00040000" w:csb1="00000000"/>
    <w:embedRegular r:id="rId4" w:fontKey="{D7820025-D123-44E0-9148-B1CEEE9E2D98}"/>
  </w:font>
  <w:font w:name="仿宋">
    <w:panose1 w:val="02010609060101010101"/>
    <w:charset w:val="86"/>
    <w:family w:val="modern"/>
    <w:pitch w:val="default"/>
    <w:sig w:usb0="800002BF" w:usb1="38CF7CFA" w:usb2="00000016" w:usb3="00000000" w:csb0="00040001" w:csb1="00000000"/>
    <w:embedRegular r:id="rId5" w:fontKey="{5AA965AD-01C5-452D-B2F8-463F40E5DA7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ascii="宋体" w:hAnsi="宋体"/>
        <w:sz w:val="28"/>
        <w:szCs w:val="28"/>
      </w:rPr>
    </w:pPr>
    <w:r>
      <w:rPr>
        <w:sz w:val="28"/>
      </w:rPr>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path/>
          <v:fill on="f" focussize="0,0"/>
          <v:stroke on="f" weight="0.5pt" joinstyle="miter"/>
          <v:imagedata o:title=""/>
          <o:lock v:ext="edit"/>
          <v:textbox inset="0mm,0mm,0mm,0mm" style="mso-fit-shape-to-text:t;">
            <w:txbxContent>
              <w:p>
                <w:pPr>
                  <w:pStyle w:val="4"/>
                  <w:jc w:val="right"/>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18 -</w:t>
                </w:r>
                <w:r>
                  <w:rPr>
                    <w:rFonts w:ascii="宋体" w:hAnsi="宋体"/>
                    <w:sz w:val="28"/>
                    <w:szCs w:val="28"/>
                  </w:rPr>
                  <w:fldChar w:fldCharType="end"/>
                </w:r>
              </w:p>
            </w:txbxContent>
          </v:textbox>
        </v:shape>
      </w:pict>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TrueTypeFonts/>
  <w:saveSubsetFonts/>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GI4NjI5OTBmMDM1ODFlMDkzNDFlZTFiMWNhZWU5ZTMifQ=="/>
  </w:docVars>
  <w:rsids>
    <w:rsidRoot w:val="5B1D39DF"/>
    <w:rsid w:val="001C7834"/>
    <w:rsid w:val="0023434C"/>
    <w:rsid w:val="002C61B3"/>
    <w:rsid w:val="00465181"/>
    <w:rsid w:val="0057202C"/>
    <w:rsid w:val="005E3946"/>
    <w:rsid w:val="0060746B"/>
    <w:rsid w:val="00725DF9"/>
    <w:rsid w:val="007F54C2"/>
    <w:rsid w:val="00826643"/>
    <w:rsid w:val="0089189B"/>
    <w:rsid w:val="00937349"/>
    <w:rsid w:val="00954F6E"/>
    <w:rsid w:val="00B03B70"/>
    <w:rsid w:val="00CF07EE"/>
    <w:rsid w:val="00DF4B23"/>
    <w:rsid w:val="00E617B2"/>
    <w:rsid w:val="00F42C33"/>
    <w:rsid w:val="018F3E9E"/>
    <w:rsid w:val="08071A24"/>
    <w:rsid w:val="0AE015F1"/>
    <w:rsid w:val="166F0CC2"/>
    <w:rsid w:val="17DD1476"/>
    <w:rsid w:val="192711FD"/>
    <w:rsid w:val="1EAF004C"/>
    <w:rsid w:val="268C49EB"/>
    <w:rsid w:val="289A2DBF"/>
    <w:rsid w:val="2A3D2186"/>
    <w:rsid w:val="2C9771E3"/>
    <w:rsid w:val="2E7D6EC3"/>
    <w:rsid w:val="33603168"/>
    <w:rsid w:val="343E6DA0"/>
    <w:rsid w:val="3A297DD8"/>
    <w:rsid w:val="3B385932"/>
    <w:rsid w:val="43737E2B"/>
    <w:rsid w:val="43A847E9"/>
    <w:rsid w:val="43CE5F37"/>
    <w:rsid w:val="48130437"/>
    <w:rsid w:val="48C56371"/>
    <w:rsid w:val="57372465"/>
    <w:rsid w:val="577A5DB4"/>
    <w:rsid w:val="5B1D39DF"/>
    <w:rsid w:val="65CB63B1"/>
    <w:rsid w:val="6E0E5CF7"/>
    <w:rsid w:val="76B73B64"/>
    <w:rsid w:val="77005040"/>
    <w:rsid w:val="79A6491D"/>
    <w:rsid w:val="7FBB354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autoRedefine/>
    <w:semiHidden/>
    <w:unhideWhenUsed/>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link w:val="15"/>
    <w:autoRedefine/>
    <w:semiHidden/>
    <w:unhideWhenUsed/>
    <w:qFormat/>
    <w:uiPriority w:val="0"/>
    <w:pPr>
      <w:jc w:val="left"/>
    </w:pPr>
  </w:style>
  <w:style w:type="paragraph" w:styleId="3">
    <w:name w:val="Balloon Text"/>
    <w:basedOn w:val="1"/>
    <w:link w:val="12"/>
    <w:autoRedefine/>
    <w:semiHidden/>
    <w:unhideWhenUsed/>
    <w:uiPriority w:val="0"/>
    <w:rPr>
      <w:sz w:val="18"/>
      <w:szCs w:val="18"/>
    </w:rPr>
  </w:style>
  <w:style w:type="paragraph" w:styleId="4">
    <w:name w:val="footer"/>
    <w:basedOn w:val="1"/>
    <w:autoRedefine/>
    <w:uiPriority w:val="0"/>
    <w:pPr>
      <w:tabs>
        <w:tab w:val="center" w:pos="4153"/>
        <w:tab w:val="right" w:pos="8306"/>
      </w:tabs>
      <w:snapToGrid w:val="0"/>
      <w:jc w:val="left"/>
    </w:pPr>
    <w:rPr>
      <w:sz w:val="18"/>
      <w:szCs w:val="20"/>
    </w:rPr>
  </w:style>
  <w:style w:type="paragraph" w:styleId="5">
    <w:name w:val="header"/>
    <w:basedOn w:val="1"/>
    <w:link w:val="11"/>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toc 1"/>
    <w:basedOn w:val="1"/>
    <w:next w:val="1"/>
    <w:autoRedefine/>
    <w:qFormat/>
    <w:uiPriority w:val="0"/>
    <w:pPr>
      <w:spacing w:line="600" w:lineRule="exact"/>
      <w:ind w:firstLine="788" w:firstLineChars="200"/>
    </w:pPr>
    <w:rPr>
      <w:rFonts w:ascii="Calibri" w:hAnsi="Calibri" w:eastAsia="仿宋_GB2312"/>
      <w:sz w:val="36"/>
      <w:szCs w:val="22"/>
    </w:rPr>
  </w:style>
  <w:style w:type="paragraph" w:styleId="7">
    <w:name w:val="annotation subject"/>
    <w:basedOn w:val="2"/>
    <w:next w:val="2"/>
    <w:link w:val="16"/>
    <w:autoRedefine/>
    <w:semiHidden/>
    <w:unhideWhenUsed/>
    <w:qFormat/>
    <w:uiPriority w:val="0"/>
    <w:rPr>
      <w:b/>
      <w:bCs/>
    </w:rPr>
  </w:style>
  <w:style w:type="character" w:styleId="10">
    <w:name w:val="annotation reference"/>
    <w:basedOn w:val="9"/>
    <w:autoRedefine/>
    <w:semiHidden/>
    <w:unhideWhenUsed/>
    <w:qFormat/>
    <w:uiPriority w:val="0"/>
    <w:rPr>
      <w:sz w:val="21"/>
      <w:szCs w:val="21"/>
    </w:rPr>
  </w:style>
  <w:style w:type="character" w:customStyle="1" w:styleId="11">
    <w:name w:val="页眉 Char"/>
    <w:basedOn w:val="9"/>
    <w:link w:val="5"/>
    <w:autoRedefine/>
    <w:qFormat/>
    <w:uiPriority w:val="0"/>
    <w:rPr>
      <w:rFonts w:ascii="Times New Roman" w:hAnsi="Times New Roman" w:eastAsia="宋体" w:cs="Times New Roman"/>
      <w:kern w:val="2"/>
      <w:sz w:val="18"/>
      <w:szCs w:val="18"/>
    </w:rPr>
  </w:style>
  <w:style w:type="character" w:customStyle="1" w:styleId="12">
    <w:name w:val="批注框文本 Char"/>
    <w:basedOn w:val="9"/>
    <w:link w:val="3"/>
    <w:autoRedefine/>
    <w:semiHidden/>
    <w:qFormat/>
    <w:uiPriority w:val="0"/>
    <w:rPr>
      <w:rFonts w:ascii="Times New Roman" w:hAnsi="Times New Roman" w:eastAsia="宋体" w:cs="Times New Roman"/>
      <w:kern w:val="2"/>
      <w:sz w:val="18"/>
      <w:szCs w:val="18"/>
    </w:rPr>
  </w:style>
  <w:style w:type="paragraph" w:customStyle="1" w:styleId="13">
    <w:name w:val="BodyText"/>
    <w:basedOn w:val="1"/>
    <w:next w:val="14"/>
    <w:autoRedefine/>
    <w:qFormat/>
    <w:uiPriority w:val="0"/>
    <w:pPr>
      <w:spacing w:after="120"/>
    </w:pPr>
    <w:rPr>
      <w:rFonts w:ascii="Calibri" w:hAnsi="Calibri"/>
      <w:szCs w:val="22"/>
    </w:rPr>
  </w:style>
  <w:style w:type="paragraph" w:customStyle="1" w:styleId="14">
    <w:name w:val="UserStyle_0"/>
    <w:next w:val="1"/>
    <w:autoRedefine/>
    <w:qFormat/>
    <w:uiPriority w:val="0"/>
    <w:pPr>
      <w:jc w:val="both"/>
      <w:textAlignment w:val="baseline"/>
    </w:pPr>
    <w:rPr>
      <w:rFonts w:ascii="Calibri" w:hAnsi="Calibri" w:eastAsia="宋体" w:cs="Times New Roman"/>
      <w:sz w:val="21"/>
      <w:szCs w:val="22"/>
      <w:lang w:val="en-US" w:eastAsia="zh-CN" w:bidi="ar-SA"/>
    </w:rPr>
  </w:style>
  <w:style w:type="character" w:customStyle="1" w:styleId="15">
    <w:name w:val="批注文字 Char"/>
    <w:basedOn w:val="9"/>
    <w:link w:val="2"/>
    <w:autoRedefine/>
    <w:semiHidden/>
    <w:qFormat/>
    <w:uiPriority w:val="0"/>
    <w:rPr>
      <w:kern w:val="2"/>
      <w:sz w:val="21"/>
      <w:szCs w:val="24"/>
    </w:rPr>
  </w:style>
  <w:style w:type="character" w:customStyle="1" w:styleId="16">
    <w:name w:val="批注主题 Char"/>
    <w:basedOn w:val="15"/>
    <w:link w:val="7"/>
    <w:autoRedefine/>
    <w:semiHidden/>
    <w:uiPriority w:val="0"/>
    <w:rPr>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C2EAF9-2B9C-4146-8D9D-46397AA2100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19</Pages>
  <Words>1492</Words>
  <Characters>8507</Characters>
  <Lines>70</Lines>
  <Paragraphs>19</Paragraphs>
  <TotalTime>1</TotalTime>
  <ScaleCrop>false</ScaleCrop>
  <LinksUpToDate>false</LinksUpToDate>
  <CharactersWithSpaces>9980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2024-01-18T03:00:00Z</dcterms:created>
  <dc:creator>Administrator</dc:creator>
  <cp:lastModifiedBy>花香氤</cp:lastModifiedBy>
  <cp:lastPrinted>2024-02-27T01:50:00Z</cp:lastPrinted>
  <dcterms:modified xsi:type="dcterms:W3CDTF">2024-04-03T02:01:14Z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F363551EB13C4FD6A15E776031A1AF58_12</vt:lpwstr>
  </property>
</Properties>
</file>