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Hlk207891314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2026年首届中国新文创市集暨潮玩游园会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朝阳区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“潮玩惠民礼包”发放方案</w:t>
      </w:r>
    </w:p>
    <w:bookmarkEnd w:id="0"/>
    <w:p>
      <w:pPr>
        <w:spacing w:after="0" w:line="560" w:lineRule="exact"/>
        <w:ind w:firstLine="642" w:firstLineChars="200"/>
        <w:jc w:val="center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文旅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领域）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为进一步推动IP潮玩产业发展，充分释放文旅消费活力，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营造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浓厚的消费氛围，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切实的消费优惠带动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住宿等传统旅游消费市场活跃，拟发放2026年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首届中国新文创市集暨潮玩游园会朝阳区“潮玩惠民礼包”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领域）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一、活动</w:t>
      </w: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名称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朝阳区“潮玩惠民礼包”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二、活动内容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24"/>
        </w:rPr>
        <w:t>（一）发放对象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自然人消费者。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24"/>
        </w:rPr>
        <w:t>（二）发放时间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2026年5月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val="en-US" w:eastAsia="zh-CN"/>
        </w:rPr>
        <w:t>15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日0时—5月24日24时。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24"/>
        </w:rPr>
        <w:t>（三）发放规模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文旅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领域共计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24"/>
        </w:rPr>
        <w:t>（四）补贴规则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每份惠民礼包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拟补贴单笔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订单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消费额的30%，最高提供600元补贴，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本次使用周期内，每个用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户在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同一平台仅可以领取1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份惠民礼包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，每笔订单仅可使用1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份惠民礼包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24"/>
        </w:rPr>
        <w:t>（五）发放主体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发放主体为规范经营的互联网平台</w:t>
      </w:r>
      <w:r>
        <w:rPr>
          <w:rFonts w:hint="default" w:ascii="Times New Roman" w:hAnsi="Times New Roman" w:eastAsia="仿宋_GB2312" w:cs="Times New Roman"/>
          <w:sz w:val="32"/>
          <w:szCs w:val="24"/>
        </w:rPr>
        <w:t>，能够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24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首届中国新文创市集暨潮玩游园会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及全区整体活动安排形成联动</w:t>
      </w:r>
      <w:r>
        <w:rPr>
          <w:rFonts w:hint="default" w:ascii="Times New Roman" w:hAnsi="Times New Roman" w:eastAsia="仿宋_GB2312" w:cs="Times New Roman"/>
          <w:sz w:val="32"/>
          <w:szCs w:val="24"/>
        </w:rPr>
        <w:t>，突出体现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拉动作用。组织平台上在朝阳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规范经营的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重点游乐园、酒店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商户积极参与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电子化发放和核销能力。我局将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发布参与活动的平台企业征集公告，并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结合企业申报情况，综合考虑经济拉动、知名度、影响力、配套资源等因素，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选定发放主体。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24"/>
        </w:rPr>
        <w:t>（六）参与规则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1.发放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规则：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朝阳区文旅局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额度使用权分配至平台，由平台对消费者进行公平公正公开的发放。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2.核销规则：活动期间由平台进行核销。活动结束后，由平台提交核销明细以及证明完成核销的材料（包括但不限于加盖单位公章的核销情况说明、核销明细等）。政府委托第三方审核企业核销材料并按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24"/>
        </w:rPr>
        <w:t>%的比例抽查核销明细。如材料或核销明细不齐全，应由平台退还相应金额。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3.动态监管：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朝阳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区文旅局对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发放情况进行动态监管，发放结束后，平台需及时向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朝阳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区文旅局真实、准确提供核销情况。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4.其他说明：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（1）消费者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领取惠民礼包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电子惠民礼包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不找零、不拆分、不转让、不重复使用，截屏、复制、修改、转发无效。每笔消费限用一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24"/>
        </w:rPr>
        <w:t>，可同时叠加活动平台的其他优惠活动。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核销的交易如发生退款、撤销，退款金额扣除核销的优惠金额后退回至消费者原付款卡，已核销的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惠民礼包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资金需退回资金池。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（3）活动期间，消费者、平台及参与企业应自觉遵守活动规则，坚决抵制利用惠民礼包套利等违法违规行为。惠民礼包仅限本人真实消费使用，禁止转售，不得用于购买购物卡、为虚拟账户充值、虚拟交易、自买自卖、刷单、分单、恶意套利等违反礼包发放规则、损害公共利益或其他违反国家法律法规的行为。一经发现，将取消补贴资格，或采取限制领取、使用惠民礼包等措施；若违法违规行为造成严重后果，将依法依规追究相应责任。</w:t>
      </w:r>
    </w:p>
    <w:p>
      <w:pPr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szCs w:val="21"/>
      </w:rPr>
      <w:id w:val="122321258"/>
    </w:sdtPr>
    <w:sdtEndPr>
      <w:rPr>
        <w:rFonts w:ascii="Calibri" w:hAnsi="Calibri" w:eastAsia="宋体" w:cs="Calibri"/>
        <w:sz w:val="18"/>
        <w:szCs w:val="18"/>
      </w:rPr>
    </w:sdtEndPr>
    <w:sdtContent>
      <w:p>
        <w:pPr>
          <w:snapToGrid w:val="0"/>
          <w:jc w:val="center"/>
          <w:rPr>
            <w:rFonts w:ascii="Calibri" w:hAnsi="Calibri" w:eastAsia="宋体" w:cs="Calibri"/>
            <w:sz w:val="18"/>
            <w:szCs w:val="18"/>
          </w:rPr>
        </w:pPr>
        <w:r>
          <w:rPr>
            <w:rFonts w:ascii="Calibri" w:hAnsi="Calibri" w:eastAsia="宋体" w:cs="Calibri"/>
            <w:sz w:val="18"/>
            <w:szCs w:val="18"/>
          </w:rPr>
          <w:fldChar w:fldCharType="begin"/>
        </w:r>
        <w:r>
          <w:rPr>
            <w:rFonts w:ascii="Calibri" w:hAnsi="Calibri" w:eastAsia="宋体" w:cs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 w:eastAsia="宋体" w:cs="Calibri"/>
            <w:sz w:val="18"/>
            <w:szCs w:val="18"/>
          </w:rPr>
          <w:fldChar w:fldCharType="separate"/>
        </w:r>
        <w:r>
          <w:rPr>
            <w:rFonts w:ascii="Calibri" w:hAnsi="Calibri" w:eastAsia="宋体" w:cs="Calibri"/>
            <w:sz w:val="18"/>
            <w:szCs w:val="18"/>
            <w:lang w:val="zh-CN"/>
          </w:rPr>
          <w:t>8</w:t>
        </w:r>
        <w:r>
          <w:rPr>
            <w:rFonts w:ascii="Calibri" w:hAnsi="Calibri" w:eastAsia="宋体" w:cs="Calibri"/>
            <w:sz w:val="18"/>
            <w:szCs w:val="18"/>
          </w:rPr>
          <w:fldChar w:fldCharType="end"/>
        </w:r>
      </w:p>
    </w:sdtContent>
  </w:sdt>
  <w:p>
    <w:pPr>
      <w:snapToGrid w:val="0"/>
      <w:ind w:firstLine="360"/>
      <w:jc w:val="left"/>
      <w:rPr>
        <w:rFonts w:ascii="Calibri" w:hAnsi="Calibri" w:eastAsia="宋体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13B6"/>
    <w:rsid w:val="7D6F13B6"/>
    <w:rsid w:val="B7B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2026-04-29T01:39:00Z</dcterms:created>
  <dc:creator>uos</dc:creator>
  <cp:lastModifiedBy>uos</cp:lastModifiedBy>
  <dcterms:modified xsi:type="dcterms:W3CDTF">2026-04-28T17:43:43Z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