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863F">
      <w:pPr>
        <w:autoSpaceDE w:val="0"/>
        <w:autoSpaceDN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1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10000"/>
          <w:sz w:val="44"/>
          <w:szCs w:val="44"/>
        </w:rPr>
        <w:t>《北京市朝阳区雪茄烟</w:t>
      </w:r>
      <w:r>
        <w:rPr>
          <w:rFonts w:hint="eastAsia" w:ascii="方正小标宋简体" w:hAnsi="方正小标宋简体" w:eastAsia="方正小标宋简体" w:cs="方正小标宋简体"/>
          <w:color w:val="010000"/>
          <w:sz w:val="44"/>
          <w:szCs w:val="44"/>
          <w:lang w:val="en-US" w:eastAsia="zh-CN"/>
        </w:rPr>
        <w:t>专业店</w:t>
      </w:r>
      <w:r>
        <w:rPr>
          <w:rFonts w:hint="eastAsia" w:ascii="方正小标宋简体" w:hAnsi="方正小标宋简体" w:eastAsia="方正小标宋简体" w:cs="方正小标宋简体"/>
          <w:color w:val="010000"/>
          <w:sz w:val="44"/>
          <w:szCs w:val="44"/>
        </w:rPr>
        <w:t>零售点合理布局规定》</w:t>
      </w:r>
      <w:r>
        <w:rPr>
          <w:rFonts w:hint="eastAsia" w:ascii="方正小标宋简体" w:hAnsi="方正小标宋简体" w:eastAsia="方正小标宋简体" w:cs="方正小标宋简体"/>
          <w:color w:val="010000"/>
          <w:sz w:val="44"/>
          <w:szCs w:val="44"/>
          <w:lang w:val="en-US" w:eastAsia="zh-CN"/>
        </w:rPr>
        <w:t>制定</w:t>
      </w:r>
      <w:r>
        <w:rPr>
          <w:rFonts w:hint="eastAsia" w:ascii="方正小标宋简体" w:hAnsi="方正小标宋简体" w:eastAsia="方正小标宋简体" w:cs="方正小标宋简体"/>
          <w:color w:val="010000"/>
          <w:sz w:val="44"/>
          <w:szCs w:val="44"/>
        </w:rPr>
        <w:t>说明</w:t>
      </w:r>
    </w:p>
    <w:p w14:paraId="15739478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0DE0CF9C">
      <w:pPr>
        <w:spacing w:line="60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制定的</w:t>
      </w:r>
      <w:r>
        <w:rPr>
          <w:rFonts w:hint="eastAsia" w:ascii="黑体" w:hAnsi="黑体" w:eastAsia="黑体"/>
          <w:sz w:val="32"/>
          <w:szCs w:val="32"/>
        </w:rPr>
        <w:t>背景</w:t>
      </w:r>
    </w:p>
    <w:p w14:paraId="696E1C3B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规范雪茄烟零售市场秩序，切实维护国家利益与消费者权益，促进雪茄烟零售市场向规范化、专业化发展。通过实施精细化、差异化的零售点布局策略，进一步优化许可资源配置，精准提供政策支持，维护烟草专卖制度，保护未成年人、消费者和经营者合法权益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着力营造一个“竞争适度、进退有序、健康发展”的雪茄烟零售市场生态。综合实际情况，北京市朝阳区烟草专卖局在上级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32"/>
        </w:rPr>
        <w:t>的总体要求和指导性意见框架下，认真听取社会公众和政府部门建议后，考虑到雪茄烟和卷烟在商品特征上存在显著差异，专门制定适用于雪茄烟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零售点的布局规定。</w:t>
      </w:r>
    </w:p>
    <w:p w14:paraId="1770CFBB">
      <w:pPr>
        <w:spacing w:line="60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制定的</w:t>
      </w:r>
      <w:r>
        <w:rPr>
          <w:rFonts w:hint="eastAsia" w:ascii="黑体" w:hAnsi="黑体" w:eastAsia="黑体"/>
          <w:sz w:val="32"/>
          <w:szCs w:val="32"/>
        </w:rPr>
        <w:t>依据</w:t>
      </w:r>
    </w:p>
    <w:p w14:paraId="07B523B1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《中华人民共和国行政许可法》</w:t>
      </w:r>
    </w:p>
    <w:p w14:paraId="6E21AC00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《中华人民共和国未成年人保护法》</w:t>
      </w:r>
    </w:p>
    <w:p w14:paraId="59512535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3.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《中华人民共和国烟草专卖法》</w:t>
      </w:r>
    </w:p>
    <w:p w14:paraId="2EB570F0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《中华人民共和国烟草专卖法实施条例》</w:t>
      </w:r>
    </w:p>
    <w:p w14:paraId="18A57E33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5.</w:t>
      </w:r>
      <w:r>
        <w:rPr>
          <w:rFonts w:hint="eastAsia" w:ascii="仿宋_GB2312" w:hAnsi="宋体" w:eastAsia="仿宋_GB2312" w:cs="Times New Roman"/>
          <w:sz w:val="32"/>
          <w:szCs w:val="32"/>
        </w:rPr>
        <w:t>《烟草专卖许可证管理办法》</w:t>
      </w:r>
    </w:p>
    <w:p w14:paraId="6EFA26D3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6.</w:t>
      </w:r>
      <w:r>
        <w:rPr>
          <w:rFonts w:hint="eastAsia" w:ascii="仿宋_GB2312" w:hAnsi="宋体" w:eastAsia="仿宋_GB2312" w:cs="Times New Roman"/>
          <w:sz w:val="32"/>
          <w:szCs w:val="32"/>
        </w:rPr>
        <w:t>《烟草专卖许可证管理办法实施细则》</w:t>
      </w:r>
    </w:p>
    <w:p w14:paraId="18E69EC4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7.</w:t>
      </w:r>
      <w:r>
        <w:rPr>
          <w:rFonts w:hint="eastAsia" w:ascii="仿宋_GB2312" w:hAnsi="宋体" w:eastAsia="仿宋_GB2312" w:cs="Times New Roman"/>
          <w:sz w:val="32"/>
          <w:szCs w:val="32"/>
        </w:rPr>
        <w:t>《北京市控制吸烟条例》</w:t>
      </w:r>
    </w:p>
    <w:p w14:paraId="3C7DD1D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8.《完善烟草专卖零售许可管理优化政务服务工作指引》</w:t>
      </w:r>
    </w:p>
    <w:p w14:paraId="2C026389">
      <w:pPr>
        <w:spacing w:line="60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三、制定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/>
          <w:sz w:val="32"/>
          <w:szCs w:val="32"/>
        </w:rPr>
        <w:t>过程</w:t>
      </w:r>
    </w:p>
    <w:p w14:paraId="4C7B5B4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bidi="ar"/>
        </w:rPr>
        <w:t>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bidi="ar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12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bidi="ar"/>
        </w:rPr>
        <w:t>月起，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北京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市朝阳区烟草专卖局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启动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雪茄烟专业店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零售点布局规定的制定工作，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计划通过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制定前评估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市场调研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起草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公平竞争审查、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合法性审查、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征求意见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组织召开听证会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集体讨论等程序，最终形成符合本辖区实际的《北京市朝阳区雪茄烟专业店零售点合理布局规定》。</w:t>
      </w:r>
    </w:p>
    <w:bookmarkEnd w:id="0"/>
    <w:p w14:paraId="25721922">
      <w:pPr>
        <w:spacing w:line="60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、制定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 w14:paraId="2532056E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《北京市朝阳区雪茄烟专业店零售点合理布局规定》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分三章节共十五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条，主要</w:t>
      </w:r>
      <w:r>
        <w:rPr>
          <w:rFonts w:hint="eastAsia" w:ascii="仿宋_GB2312" w:hAnsi="宋体" w:eastAsia="仿宋_GB2312" w:cs="Times New Roman"/>
          <w:sz w:val="32"/>
          <w:szCs w:val="32"/>
        </w:rPr>
        <w:t>内容如下：</w:t>
      </w:r>
    </w:p>
    <w:p w14:paraId="6C5EA4B9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Times New Roman"/>
          <w:sz w:val="32"/>
          <w:szCs w:val="32"/>
        </w:rPr>
        <w:t>第一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条至第</w:t>
      </w:r>
      <w:r>
        <w:rPr>
          <w:rFonts w:hint="eastAsia" w:ascii="仿宋_GB2312" w:hAnsi="宋体" w:eastAsia="仿宋_GB2312" w:cs="Times New Roman"/>
          <w:sz w:val="32"/>
          <w:szCs w:val="32"/>
        </w:rPr>
        <w:t>四条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明确</w:t>
      </w:r>
      <w:r>
        <w:rPr>
          <w:rFonts w:hint="eastAsia" w:ascii="仿宋_GB2312" w:hAnsi="宋体" w:eastAsia="仿宋_GB2312" w:cs="Times New Roman"/>
          <w:sz w:val="32"/>
          <w:szCs w:val="32"/>
        </w:rPr>
        <w:t>制定目的、法律依据、适用范围、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布局</w:t>
      </w:r>
      <w:r>
        <w:rPr>
          <w:rFonts w:hint="eastAsia" w:ascii="仿宋_GB2312" w:hAnsi="宋体" w:eastAsia="仿宋_GB2312" w:cs="Times New Roman"/>
          <w:sz w:val="32"/>
          <w:szCs w:val="32"/>
        </w:rPr>
        <w:t>原则，并对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雪茄烟专业店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零售点进行定义；</w:t>
      </w:r>
    </w:p>
    <w:p w14:paraId="4AC1D44D">
      <w:pPr>
        <w:widowControl/>
        <w:shd w:val="clear" w:color="auto" w:fill="FFFFFF"/>
        <w:spacing w:line="60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Times New Roman"/>
          <w:sz w:val="32"/>
          <w:szCs w:val="32"/>
        </w:rPr>
        <w:t>第五条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明确布局方法及辖区指导数量总数；</w:t>
      </w:r>
    </w:p>
    <w:p w14:paraId="1A958BDB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第六条、第七条明确雪茄烟专业店零售点与其他烟草制品零售点的布局关系；</w:t>
      </w:r>
    </w:p>
    <w:p w14:paraId="77AA2B3A">
      <w:pPr>
        <w:widowControl/>
        <w:shd w:val="clear" w:color="auto" w:fill="FFFFFF"/>
        <w:spacing w:line="60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第八条明确经营雪茄烟专业店所需的经营条件；</w:t>
      </w:r>
    </w:p>
    <w:p w14:paraId="56B4F9A5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第九条明确</w:t>
      </w:r>
      <w:r>
        <w:rPr>
          <w:rFonts w:hint="eastAsia" w:ascii="仿宋_GB2312" w:hAnsi="宋体" w:eastAsia="仿宋_GB2312" w:cs="Times New Roman"/>
          <w:sz w:val="32"/>
          <w:szCs w:val="32"/>
        </w:rPr>
        <w:t>不予设置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雪茄烟专业店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零售点的情形；</w:t>
      </w:r>
    </w:p>
    <w:p w14:paraId="2E09F23D">
      <w:pPr>
        <w:widowControl/>
        <w:shd w:val="clear" w:color="auto" w:fill="FFFFFF"/>
        <w:spacing w:line="60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（六）</w:t>
      </w:r>
      <w:r>
        <w:rPr>
          <w:rFonts w:hint="eastAsia" w:ascii="仿宋_GB2312" w:hAnsi="宋体" w:eastAsia="仿宋_GB2312" w:cs="Times New Roman"/>
          <w:sz w:val="32"/>
          <w:szCs w:val="32"/>
        </w:rPr>
        <w:t>第十条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第十一条明确</w:t>
      </w:r>
      <w:r>
        <w:rPr>
          <w:rFonts w:hint="eastAsia" w:ascii="仿宋_GB2312" w:eastAsia="仿宋_GB2312"/>
          <w:color w:val="000000"/>
          <w:sz w:val="32"/>
          <w:szCs w:val="32"/>
        </w:rPr>
        <w:t>发生不可抗力或非自身原因等情况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color w:val="000000"/>
          <w:sz w:val="32"/>
          <w:szCs w:val="32"/>
        </w:rPr>
        <w:t>的相关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配套政策；</w:t>
      </w:r>
    </w:p>
    <w:p w14:paraId="6974FF66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（七）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第十二条明确</w:t>
      </w:r>
      <w:r>
        <w:rPr>
          <w:rFonts w:hint="eastAsia" w:ascii="仿宋_GB2312" w:hAnsi="宋体" w:eastAsia="仿宋_GB2312" w:cs="Times New Roman"/>
          <w:sz w:val="32"/>
          <w:szCs w:val="32"/>
        </w:rPr>
        <w:t>距离测量规则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和名词解释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参照《北京市朝阳区烟草制品零售点合理布局规定》执行</w:t>
      </w:r>
      <w:r>
        <w:rPr>
          <w:rFonts w:hint="eastAsia" w:ascii="仿宋_GB2312" w:hAnsi="宋体" w:eastAsia="仿宋_GB2312" w:cs="Times New Roman"/>
          <w:sz w:val="32"/>
          <w:szCs w:val="32"/>
        </w:rPr>
        <w:t>；</w:t>
      </w:r>
    </w:p>
    <w:p w14:paraId="02946A74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</w:rPr>
        <w:t>第十三条至第十五条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明确相关技术性要求、解释主体和施行时间。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</w:p>
    <w:p w14:paraId="29138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65DA4-F56E-4AA9-A9E8-2A6BEC1B41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FCCBA6-B0AC-4A0D-A1AD-0B74A3A14F2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EF765C8-09D8-4953-A028-25043316D9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0139CF-B483-4CB8-BC76-E384AF394A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605"/>
    <w:rsid w:val="0155427A"/>
    <w:rsid w:val="02287B0C"/>
    <w:rsid w:val="036363D4"/>
    <w:rsid w:val="0D735465"/>
    <w:rsid w:val="0E1439F0"/>
    <w:rsid w:val="0EBB5316"/>
    <w:rsid w:val="0F043E79"/>
    <w:rsid w:val="142474B9"/>
    <w:rsid w:val="16D94EAE"/>
    <w:rsid w:val="1DAA4ED3"/>
    <w:rsid w:val="32492248"/>
    <w:rsid w:val="3EDE4585"/>
    <w:rsid w:val="3FC512A1"/>
    <w:rsid w:val="404B3E9C"/>
    <w:rsid w:val="423F533B"/>
    <w:rsid w:val="47152B0E"/>
    <w:rsid w:val="4B840262"/>
    <w:rsid w:val="4FC74BC1"/>
    <w:rsid w:val="5B022F52"/>
    <w:rsid w:val="75EF43A6"/>
    <w:rsid w:val="79305A30"/>
    <w:rsid w:val="7AF4420D"/>
    <w:rsid w:val="7EE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802162a6-dd5c-4a47-bd96-33a3aa17fbfe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7B523B1</paraID>
      <start>0</start>
      <end>2</end>
      <status>modified</status>
      <modifiedWord>1.</modifiedWord>
      <trackRevisions>false</trackRevisions>
    </reviewItem>
    <reviewItem>
      <errorID>ee74312d-016f-470c-8717-2d68e558c21c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6E21AC00</paraID>
      <start>0</start>
      <end>2</end>
      <status>modified</status>
      <modifiedWord>2.</modifiedWord>
      <trackRevisions>false</trackRevisions>
    </reviewItem>
    <reviewItem>
      <errorID>ee53f3b2-5487-4b4e-9a71-8069eda91d0c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59512535</paraID>
      <start>0</start>
      <end>2</end>
      <status>modified</status>
      <modifiedWord>3.</modifiedWord>
      <trackRevisions>false</trackRevisions>
    </reviewItem>
    <reviewItem>
      <errorID>c8710d50-e27e-4f4a-937d-ca89e26a8fed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2EB570F0</paraID>
      <start>0</start>
      <end>2</end>
      <status>modified</status>
      <modifiedWord>4.</modifiedWord>
      <trackRevisions>false</trackRevisions>
    </reviewItem>
    <reviewItem>
      <errorID>7456ff03-b636-44ca-97c8-7efe2a18c8a3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18A57E33</paraID>
      <start>0</start>
      <end>2</end>
      <status>modified</status>
      <modifiedWord>5.</modifiedWord>
      <trackRevisions>false</trackRevisions>
    </reviewItem>
    <reviewItem>
      <errorID>2f765af8-5cc8-4cc4-90f7-a459a998b6a9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6EFA26D3</paraID>
      <start>0</start>
      <end>2</end>
      <status>modified</status>
      <modifiedWord>6.</modifiedWord>
      <trackRevisions>false</trackRevisions>
    </reviewItem>
    <reviewItem>
      <errorID>761951ff-7059-41cc-9c8a-9301f0b7f3e2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18E69EC4</paraID>
      <start>0</start>
      <end>2</end>
      <status>modified</status>
      <modifiedWord>7.</modifiedWord>
      <trackRevisions>false</trackRevisions>
    </reviewItem>
    <reviewItem>
      <errorID>00dab0b5-9636-45df-8841-e4ba79d267d3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3C7DD1DD</paraID>
      <start>0</start>
      <end>2</end>
      <status>modified</status>
      <modifiedWord>8.</modifiedWord>
      <trackRevisions>false</trackRevisions>
    </reviewItem>
    <reviewItem>
      <errorID>4f39d762-6d1f-4a16-9529-3eb9ce78711b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6C5EA4B9</paraID>
      <start>0</start>
      <end>3</end>
      <status>modified</status>
      <modifiedWord>（一）</modifiedWord>
      <trackRevisions>false</trackRevisions>
    </reviewItem>
    <reviewItem>
      <errorID>03808568-e4de-4e33-804a-e5a0a107683a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4AC1D44D</paraID>
      <start>0</start>
      <end>3</end>
      <status>modified</status>
      <modifiedWord>（二）</modifiedWord>
      <trackRevisions>false</trackRevisions>
    </reviewItem>
    <reviewItem>
      <errorID>9f9b299b-6b7a-4c6b-ab9c-0a8c6bb38fb1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1A958BDB</paraID>
      <start>0</start>
      <end>3</end>
      <status>modified</status>
      <modifiedWord>（三）</modifiedWord>
      <trackRevisions>false</trackRevisions>
    </reviewItem>
    <reviewItem>
      <errorID>8411a2eb-e5c5-4729-b7d7-133479144036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77AA2B3A</paraID>
      <start>0</start>
      <end>3</end>
      <status>modified</status>
      <modifiedWord>（四）</modifiedWord>
      <trackRevisions>false</trackRevisions>
    </reviewItem>
    <reviewItem>
      <errorID>b261a6f3-8be1-49ba-aa00-bef5dae0bb0c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56B4F9A5</paraID>
      <start>0</start>
      <end>3</end>
      <status>modified</status>
      <modifiedWord>（五）</modifiedWord>
      <trackRevisions>false</trackRevisions>
    </reviewItem>
    <reviewItem>
      <errorID>9f3472e4-e6eb-45c7-a3eb-da026c636095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2E09F23D</paraID>
      <start>0</start>
      <end>3</end>
      <status>modified</status>
      <modifiedWord>（六）</modifiedWord>
      <trackRevisions>false</trackRevisions>
    </reviewItem>
    <reviewItem>
      <errorID>561f2eac-1e41-42e1-9592-ebcaaa9a362c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6974FF66</paraID>
      <start>0</start>
      <end>3</end>
      <status>modified</status>
      <modifiedWord>（七）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86b6c5-6a38-4964-8e88-84f6a2dd7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889</Characters>
  <Lines>0</Lines>
  <Paragraphs>0</Paragraphs>
  <TotalTime>0</TotalTime>
  <ScaleCrop>false</ScaleCrop>
  <LinksUpToDate>false</LinksUpToDate>
  <CharactersWithSpaces>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2025-12-22T05:54:00Z</dcterms:created>
  <dc:creator>maxin</dc:creator>
  <cp:lastModifiedBy>小七</cp:lastModifiedBy>
  <dcterms:modified xsi:type="dcterms:W3CDTF">2026-01-05T06:20:38Z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eyJoZGlkIjoiZGFkMTNkOWQ0ZDk5YTI1ODFjZGIxZmM1OTJhZjg5YTIiLCJ1c2VySWQiOiIyMDc1ODk1MjcifQ==</vt:lpwstr>
  </property>
  <property fmtid="{D5CDD505-2E9C-101B-9397-08002B2CF9AE}" pid="4" name="ICV">
    <vt:lpwstr>4A088D092E97498C9DB21DD92C767517_12</vt:lpwstr>
  </property>
</Properties>
</file>