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2023年1-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sz w:val="44"/>
          <w:szCs w:val="44"/>
        </w:rPr>
        <w:t>月朝阳区主要经济指标数据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1．工业生产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月，朝阳区实现规模以上工业总产值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284.7</w:t>
      </w:r>
      <w:r>
        <w:rPr>
          <w:rFonts w:hint="eastAsia" w:ascii="宋体" w:hAnsi="宋体" w:cs="宋体"/>
          <w:sz w:val="28"/>
          <w:szCs w:val="28"/>
        </w:rPr>
        <w:t>亿元，</w:t>
      </w:r>
      <w:r>
        <w:rPr>
          <w:rFonts w:hint="eastAsia" w:ascii="宋体" w:hAnsi="宋体" w:cs="宋体"/>
          <w:color w:val="000000"/>
          <w:sz w:val="28"/>
          <w:szCs w:val="28"/>
        </w:rPr>
        <w:t>同比增长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3.6</w:t>
      </w:r>
      <w:r>
        <w:rPr>
          <w:rFonts w:hint="eastAsia" w:ascii="宋体" w:hAnsi="宋体" w:cs="宋体"/>
          <w:color w:val="000000"/>
          <w:sz w:val="28"/>
          <w:szCs w:val="28"/>
        </w:rPr>
        <w:t>%。</w:t>
      </w:r>
      <w:r>
        <w:rPr>
          <w:rFonts w:hint="eastAsia" w:ascii="宋体" w:hAnsi="宋体" w:cs="宋体"/>
          <w:sz w:val="28"/>
          <w:szCs w:val="28"/>
        </w:rPr>
        <w:t>分行业看，1-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，在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cs="宋体"/>
          <w:sz w:val="28"/>
          <w:szCs w:val="28"/>
        </w:rPr>
        <w:t>个工业大类行业中，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个行业产值同比增长，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cs="宋体"/>
          <w:sz w:val="28"/>
          <w:szCs w:val="28"/>
        </w:rPr>
        <w:t>个行业同比下降。</w:t>
      </w:r>
    </w:p>
    <w:p>
      <w:pPr>
        <w:spacing w:line="480" w:lineRule="auto"/>
        <w:jc w:val="center"/>
        <w:rPr>
          <w:rFonts w:ascii="宋体" w:hAnsi="宋体" w:cs="宋体"/>
          <w:b/>
          <w:w w:val="90"/>
          <w:sz w:val="28"/>
          <w:szCs w:val="28"/>
        </w:rPr>
      </w:pPr>
      <w:r>
        <w:rPr>
          <w:rFonts w:hint="eastAsia" w:ascii="宋体" w:hAnsi="宋体" w:cs="宋体"/>
          <w:b/>
          <w:w w:val="90"/>
          <w:sz w:val="28"/>
          <w:szCs w:val="28"/>
        </w:rPr>
        <w:t>图1  2022年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w w:val="90"/>
          <w:sz w:val="28"/>
          <w:szCs w:val="28"/>
        </w:rPr>
        <w:t>2月至2023年</w:t>
      </w:r>
      <w:r>
        <w:rPr>
          <w:rFonts w:hint="eastAsia" w:ascii="宋体" w:hAnsi="宋体" w:cs="宋体"/>
          <w:b/>
          <w:w w:val="90"/>
          <w:sz w:val="28"/>
          <w:szCs w:val="28"/>
          <w:lang w:val="en-US" w:eastAsia="zh-CN"/>
        </w:rPr>
        <w:t>1-4</w:t>
      </w:r>
      <w:r>
        <w:rPr>
          <w:rFonts w:hint="eastAsia" w:ascii="宋体" w:hAnsi="宋体" w:cs="宋体"/>
          <w:b/>
          <w:w w:val="90"/>
          <w:sz w:val="28"/>
          <w:szCs w:val="28"/>
        </w:rPr>
        <w:t>月规模以上工业总产值累计增速（%）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1959610"/>
            <wp:effectExtent l="0" t="0" r="10160" b="889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spacing w:line="480" w:lineRule="auto"/>
        <w:ind w:firstLine="562" w:firstLineChars="200"/>
        <w:jc w:val="left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2．固定资产投资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月，朝阳区固定资产投资（不含农户）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同比</w:t>
      </w:r>
      <w:r>
        <w:rPr>
          <w:rFonts w:hint="eastAsia" w:asciiTheme="minorEastAsia" w:hAnsiTheme="minorEastAsia"/>
          <w:sz w:val="28"/>
          <w:szCs w:val="28"/>
        </w:rPr>
        <w:t>增长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16.8</w:t>
      </w:r>
      <w:r>
        <w:rPr>
          <w:rFonts w:hint="eastAsia" w:asciiTheme="minorEastAsia" w:hAnsiTheme="minorEastAsia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。其中，房地产开发投资同比</w:t>
      </w:r>
      <w:r>
        <w:rPr>
          <w:rFonts w:hint="eastAsia" w:asciiTheme="minorEastAsia" w:hAnsiTheme="minorEastAsia" w:eastAsiaTheme="minorEastAsia"/>
          <w:sz w:val="28"/>
          <w:szCs w:val="32"/>
        </w:rPr>
        <w:t>增长</w:t>
      </w:r>
      <w:r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  <w:t>37.9</w:t>
      </w:r>
      <w:r>
        <w:rPr>
          <w:rFonts w:hint="eastAsia" w:asciiTheme="minorEastAsia" w:hAnsiTheme="minorEastAsia" w:eastAsiaTheme="minorEastAsia"/>
          <w:sz w:val="28"/>
          <w:szCs w:val="32"/>
        </w:rPr>
        <w:t>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w w:val="90"/>
          <w:sz w:val="28"/>
          <w:szCs w:val="28"/>
        </w:rPr>
      </w:pP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图2  2022年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2月至2023年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  <w:lang w:val="en-US" w:eastAsia="zh-CN"/>
        </w:rPr>
        <w:t>1-4</w:t>
      </w:r>
      <w:r>
        <w:rPr>
          <w:rFonts w:hint="eastAsia" w:ascii="宋体" w:hAnsi="宋体" w:cs="宋体"/>
          <w:b/>
          <w:spacing w:val="-6"/>
          <w:w w:val="90"/>
          <w:sz w:val="28"/>
          <w:szCs w:val="28"/>
        </w:rPr>
        <w:t>月固定资产投资（不含农户）累计增速（%）</w:t>
      </w:r>
    </w:p>
    <w:p>
      <w:pPr>
        <w:spacing w:line="480" w:lineRule="auto"/>
        <w:jc w:val="center"/>
        <w:rPr>
          <w:rFonts w:ascii="宋体" w:hAnsi="宋体" w:cs="宋体"/>
          <w:b/>
          <w:sz w:val="28"/>
          <w:szCs w:val="28"/>
        </w:rPr>
      </w:pPr>
      <w:r>
        <w:drawing>
          <wp:inline distT="0" distB="0" distL="114300" distR="114300">
            <wp:extent cx="5273040" cy="2105660"/>
            <wp:effectExtent l="0" t="0" r="10160" b="254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480" w:lineRule="auto"/>
        <w:ind w:firstLine="562" w:firstLineChars="200"/>
        <w:rPr>
          <w:rFonts w:hint="eastAsia" w:ascii="宋体" w:hAnsi="宋体" w:cs="宋体"/>
          <w:b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3．消费品市场</w:t>
      </w:r>
    </w:p>
    <w:p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月，朝阳区实现社会消费品零售总额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1114.5</w:t>
      </w:r>
      <w:r>
        <w:rPr>
          <w:rFonts w:hint="eastAsia" w:asciiTheme="minorEastAsia" w:hAnsiTheme="minorEastAsia"/>
          <w:sz w:val="28"/>
          <w:szCs w:val="28"/>
        </w:rPr>
        <w:t>亿元，同比</w:t>
      </w:r>
      <w:r>
        <w:rPr>
          <w:rFonts w:hint="eastAsia" w:asciiTheme="minorEastAsia" w:hAnsiTheme="minorEastAsia"/>
          <w:sz w:val="28"/>
          <w:szCs w:val="28"/>
          <w:lang w:eastAsia="zh-CN"/>
        </w:rPr>
        <w:t>增长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1.0</w:t>
      </w:r>
      <w:r>
        <w:rPr>
          <w:rFonts w:hint="eastAsia" w:asciiTheme="minorEastAsia" w:hAnsiTheme="minorEastAsia"/>
          <w:sz w:val="28"/>
          <w:szCs w:val="28"/>
        </w:rPr>
        <w:t>%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auto"/>
        <w:jc w:val="center"/>
        <w:rPr>
          <w:rFonts w:ascii="宋体" w:hAnsi="宋体" w:cs="宋体"/>
          <w:b/>
          <w:spacing w:val="-6"/>
          <w:sz w:val="28"/>
          <w:szCs w:val="28"/>
        </w:rPr>
      </w:pPr>
      <w:r>
        <w:rPr>
          <w:rFonts w:hint="eastAsia" w:ascii="宋体" w:hAnsi="宋体" w:cs="宋体"/>
          <w:b/>
          <w:spacing w:val="-6"/>
          <w:sz w:val="28"/>
          <w:szCs w:val="28"/>
        </w:rPr>
        <w:t>图3  2022年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</w:t>
      </w:r>
      <w:r>
        <w:rPr>
          <w:rFonts w:hint="eastAsia" w:ascii="宋体" w:hAnsi="宋体" w:cs="宋体"/>
          <w:b/>
          <w:spacing w:val="-6"/>
          <w:sz w:val="28"/>
          <w:szCs w:val="28"/>
        </w:rPr>
        <w:t>2月至2023年</w:t>
      </w:r>
      <w:r>
        <w:rPr>
          <w:rFonts w:hint="eastAsia" w:ascii="宋体" w:hAnsi="宋体" w:cs="宋体"/>
          <w:b/>
          <w:spacing w:val="-6"/>
          <w:sz w:val="28"/>
          <w:szCs w:val="28"/>
          <w:lang w:val="en-US" w:eastAsia="zh-CN"/>
        </w:rPr>
        <w:t>1-4</w:t>
      </w:r>
      <w:r>
        <w:rPr>
          <w:rFonts w:hint="eastAsia" w:ascii="宋体" w:hAnsi="宋体" w:cs="宋体"/>
          <w:b/>
          <w:spacing w:val="-6"/>
          <w:sz w:val="28"/>
          <w:szCs w:val="28"/>
        </w:rPr>
        <w:t>月社会消费品零售总额累计增速（%）</w:t>
      </w:r>
    </w:p>
    <w:p>
      <w:pPr>
        <w:spacing w:line="480" w:lineRule="auto"/>
        <w:jc w:val="center"/>
      </w:pPr>
      <w:r>
        <w:drawing>
          <wp:inline distT="0" distB="0" distL="114300" distR="114300">
            <wp:extent cx="5273040" cy="1976120"/>
            <wp:effectExtent l="0" t="0" r="10160" b="5080"/>
            <wp:docPr id="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/>
        <w:adjustRightInd w:val="0"/>
        <w:spacing w:line="48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1877935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1E5"/>
    <w:rsid w:val="00007353"/>
    <w:rsid w:val="000174FA"/>
    <w:rsid w:val="000243C9"/>
    <w:rsid w:val="000430DE"/>
    <w:rsid w:val="00050BFE"/>
    <w:rsid w:val="00082B00"/>
    <w:rsid w:val="000906E9"/>
    <w:rsid w:val="000A3C19"/>
    <w:rsid w:val="000C07D5"/>
    <w:rsid w:val="000D4083"/>
    <w:rsid w:val="000F2A72"/>
    <w:rsid w:val="001110A1"/>
    <w:rsid w:val="0014294D"/>
    <w:rsid w:val="00156F60"/>
    <w:rsid w:val="001651E5"/>
    <w:rsid w:val="00166B17"/>
    <w:rsid w:val="00171FF5"/>
    <w:rsid w:val="00173FF1"/>
    <w:rsid w:val="001A2CAD"/>
    <w:rsid w:val="001F1861"/>
    <w:rsid w:val="00204E88"/>
    <w:rsid w:val="00234A41"/>
    <w:rsid w:val="00252BDF"/>
    <w:rsid w:val="00256B5C"/>
    <w:rsid w:val="002668C1"/>
    <w:rsid w:val="00282257"/>
    <w:rsid w:val="00282FED"/>
    <w:rsid w:val="00287C6F"/>
    <w:rsid w:val="002A1893"/>
    <w:rsid w:val="002B7FBA"/>
    <w:rsid w:val="002C7417"/>
    <w:rsid w:val="002E1BD9"/>
    <w:rsid w:val="002F011B"/>
    <w:rsid w:val="00313402"/>
    <w:rsid w:val="00313EF2"/>
    <w:rsid w:val="00315527"/>
    <w:rsid w:val="00340104"/>
    <w:rsid w:val="0034079B"/>
    <w:rsid w:val="003415F7"/>
    <w:rsid w:val="00346654"/>
    <w:rsid w:val="00350B0C"/>
    <w:rsid w:val="003676B6"/>
    <w:rsid w:val="00387D81"/>
    <w:rsid w:val="00396857"/>
    <w:rsid w:val="003B7401"/>
    <w:rsid w:val="003E7FE2"/>
    <w:rsid w:val="00414248"/>
    <w:rsid w:val="00417C4C"/>
    <w:rsid w:val="00421047"/>
    <w:rsid w:val="00476212"/>
    <w:rsid w:val="00497210"/>
    <w:rsid w:val="004A5B2D"/>
    <w:rsid w:val="004D4457"/>
    <w:rsid w:val="004E63F0"/>
    <w:rsid w:val="004F2736"/>
    <w:rsid w:val="00502EED"/>
    <w:rsid w:val="00504E29"/>
    <w:rsid w:val="00506056"/>
    <w:rsid w:val="00513146"/>
    <w:rsid w:val="005A5A04"/>
    <w:rsid w:val="005B0CC7"/>
    <w:rsid w:val="005D4ACA"/>
    <w:rsid w:val="005D63B2"/>
    <w:rsid w:val="005E2D49"/>
    <w:rsid w:val="005F1B70"/>
    <w:rsid w:val="00603CAD"/>
    <w:rsid w:val="006109D6"/>
    <w:rsid w:val="00620C58"/>
    <w:rsid w:val="006812BB"/>
    <w:rsid w:val="006840BC"/>
    <w:rsid w:val="00686AAD"/>
    <w:rsid w:val="006B2BF0"/>
    <w:rsid w:val="006B7F69"/>
    <w:rsid w:val="006C07C9"/>
    <w:rsid w:val="006D6919"/>
    <w:rsid w:val="006E3080"/>
    <w:rsid w:val="006E68E4"/>
    <w:rsid w:val="006F0B88"/>
    <w:rsid w:val="006F1078"/>
    <w:rsid w:val="006F41A8"/>
    <w:rsid w:val="006F5391"/>
    <w:rsid w:val="00700E51"/>
    <w:rsid w:val="0070407B"/>
    <w:rsid w:val="00710499"/>
    <w:rsid w:val="0071342C"/>
    <w:rsid w:val="0073426D"/>
    <w:rsid w:val="00775F28"/>
    <w:rsid w:val="007760B2"/>
    <w:rsid w:val="00790652"/>
    <w:rsid w:val="007A7FA7"/>
    <w:rsid w:val="007B5378"/>
    <w:rsid w:val="007C2230"/>
    <w:rsid w:val="007D261D"/>
    <w:rsid w:val="008178CD"/>
    <w:rsid w:val="0083577C"/>
    <w:rsid w:val="0083665C"/>
    <w:rsid w:val="00860649"/>
    <w:rsid w:val="008A360B"/>
    <w:rsid w:val="008C54DD"/>
    <w:rsid w:val="008E0D56"/>
    <w:rsid w:val="008E1A7E"/>
    <w:rsid w:val="00901126"/>
    <w:rsid w:val="00903824"/>
    <w:rsid w:val="009111AC"/>
    <w:rsid w:val="0091740F"/>
    <w:rsid w:val="009415C3"/>
    <w:rsid w:val="00951E9F"/>
    <w:rsid w:val="00954469"/>
    <w:rsid w:val="00974BC9"/>
    <w:rsid w:val="00984BE8"/>
    <w:rsid w:val="009A7B0C"/>
    <w:rsid w:val="009C0CFF"/>
    <w:rsid w:val="009D2207"/>
    <w:rsid w:val="00A32187"/>
    <w:rsid w:val="00A4702D"/>
    <w:rsid w:val="00A506E1"/>
    <w:rsid w:val="00A526FE"/>
    <w:rsid w:val="00A57D70"/>
    <w:rsid w:val="00A62620"/>
    <w:rsid w:val="00A73BA4"/>
    <w:rsid w:val="00A82D6E"/>
    <w:rsid w:val="00A852A8"/>
    <w:rsid w:val="00AC6201"/>
    <w:rsid w:val="00AE055E"/>
    <w:rsid w:val="00AF4DF7"/>
    <w:rsid w:val="00AF7AE8"/>
    <w:rsid w:val="00B0507F"/>
    <w:rsid w:val="00B07926"/>
    <w:rsid w:val="00B17347"/>
    <w:rsid w:val="00B32EE7"/>
    <w:rsid w:val="00B4295D"/>
    <w:rsid w:val="00B60FA0"/>
    <w:rsid w:val="00B67E07"/>
    <w:rsid w:val="00B93D8D"/>
    <w:rsid w:val="00B95F67"/>
    <w:rsid w:val="00BE29F5"/>
    <w:rsid w:val="00BF6415"/>
    <w:rsid w:val="00C21C9F"/>
    <w:rsid w:val="00C2780C"/>
    <w:rsid w:val="00C307FA"/>
    <w:rsid w:val="00C361A7"/>
    <w:rsid w:val="00C44919"/>
    <w:rsid w:val="00C5150E"/>
    <w:rsid w:val="00C668AA"/>
    <w:rsid w:val="00C87CFF"/>
    <w:rsid w:val="00CA0F2A"/>
    <w:rsid w:val="00CA57E3"/>
    <w:rsid w:val="00CC498C"/>
    <w:rsid w:val="00CF2048"/>
    <w:rsid w:val="00CF70B6"/>
    <w:rsid w:val="00D168DA"/>
    <w:rsid w:val="00D3467D"/>
    <w:rsid w:val="00D4430C"/>
    <w:rsid w:val="00D61D76"/>
    <w:rsid w:val="00D828D2"/>
    <w:rsid w:val="00D945BD"/>
    <w:rsid w:val="00D94733"/>
    <w:rsid w:val="00DA66A2"/>
    <w:rsid w:val="00DA7AEA"/>
    <w:rsid w:val="00DB44A5"/>
    <w:rsid w:val="00DC407B"/>
    <w:rsid w:val="00DD0B26"/>
    <w:rsid w:val="00DD33E4"/>
    <w:rsid w:val="00DD556C"/>
    <w:rsid w:val="00E140CE"/>
    <w:rsid w:val="00E27B7F"/>
    <w:rsid w:val="00E31FC2"/>
    <w:rsid w:val="00E54E5F"/>
    <w:rsid w:val="00E61DF0"/>
    <w:rsid w:val="00E63694"/>
    <w:rsid w:val="00E63D44"/>
    <w:rsid w:val="00E7033D"/>
    <w:rsid w:val="00E94B84"/>
    <w:rsid w:val="00EE0E27"/>
    <w:rsid w:val="00F20415"/>
    <w:rsid w:val="00F453DA"/>
    <w:rsid w:val="00F46B15"/>
    <w:rsid w:val="00F57CA3"/>
    <w:rsid w:val="00F64D25"/>
    <w:rsid w:val="00F66B13"/>
    <w:rsid w:val="00F745B0"/>
    <w:rsid w:val="00FA3E35"/>
    <w:rsid w:val="00FC0729"/>
    <w:rsid w:val="00FC4B2A"/>
    <w:rsid w:val="00FC63D3"/>
    <w:rsid w:val="00FD2E5E"/>
    <w:rsid w:val="00FD723C"/>
    <w:rsid w:val="00FD7C63"/>
    <w:rsid w:val="00FE3B32"/>
    <w:rsid w:val="00FE75BD"/>
    <w:rsid w:val="00FF0D86"/>
    <w:rsid w:val="00FF266F"/>
    <w:rsid w:val="04A518BA"/>
    <w:rsid w:val="055F4794"/>
    <w:rsid w:val="06D206FE"/>
    <w:rsid w:val="0CD2757C"/>
    <w:rsid w:val="0EAC2FE8"/>
    <w:rsid w:val="0EF546E1"/>
    <w:rsid w:val="10D16479"/>
    <w:rsid w:val="121C5A48"/>
    <w:rsid w:val="156C4552"/>
    <w:rsid w:val="1B5B5321"/>
    <w:rsid w:val="1F136385"/>
    <w:rsid w:val="20BC6E7B"/>
    <w:rsid w:val="22327339"/>
    <w:rsid w:val="22CA17D0"/>
    <w:rsid w:val="2540269A"/>
    <w:rsid w:val="26362F2D"/>
    <w:rsid w:val="26D96D0C"/>
    <w:rsid w:val="34C25C14"/>
    <w:rsid w:val="35E80586"/>
    <w:rsid w:val="3C242497"/>
    <w:rsid w:val="3CBF1BA4"/>
    <w:rsid w:val="41532AEA"/>
    <w:rsid w:val="41D47F41"/>
    <w:rsid w:val="422135F3"/>
    <w:rsid w:val="43062204"/>
    <w:rsid w:val="473D71C1"/>
    <w:rsid w:val="4CA2427C"/>
    <w:rsid w:val="4FB17C81"/>
    <w:rsid w:val="54770CC2"/>
    <w:rsid w:val="567C5CAC"/>
    <w:rsid w:val="5C2A2F81"/>
    <w:rsid w:val="5D3C397F"/>
    <w:rsid w:val="5E2451F4"/>
    <w:rsid w:val="62CB76AB"/>
    <w:rsid w:val="664C647F"/>
    <w:rsid w:val="6927334E"/>
    <w:rsid w:val="6DA57E9F"/>
    <w:rsid w:val="75203DE9"/>
    <w:rsid w:val="75601036"/>
    <w:rsid w:val="75C7123D"/>
    <w:rsid w:val="771861AB"/>
    <w:rsid w:val="78C460F2"/>
    <w:rsid w:val="7FB54F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449;&#24687;\&#22806;&#32593;&#20449;&#24687;\2023&#24180;\5&#26376;\&#22806;&#32593;&#20449;&#24687;&#2227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449;&#24687;\&#22806;&#32593;&#20449;&#24687;\2023&#24180;\5&#26376;\&#22806;&#32593;&#20449;&#24687;&#2227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449;&#24687;\&#22806;&#32593;&#20449;&#24687;\2023&#24180;\5&#26376;\&#22806;&#32593;&#20449;&#24687;&#2227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57140211150213"/>
          <c:y val="0.170723574524842"/>
          <c:w val="0.924337840340804"/>
          <c:h val="0.514104701567189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[外网信息图.xls]工业!$A$90:$B$103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[外网信息图.xls]工业!$C$90:$C$103</c:f>
              <c:numCache>
                <c:formatCode>0.0_ </c:formatCode>
                <c:ptCount val="14"/>
                <c:pt idx="0">
                  <c:v>2.7</c:v>
                </c:pt>
                <c:pt idx="1">
                  <c:v>3.6</c:v>
                </c:pt>
                <c:pt idx="2">
                  <c:v>0.2</c:v>
                </c:pt>
                <c:pt idx="3">
                  <c:v>-2.4</c:v>
                </c:pt>
                <c:pt idx="4">
                  <c:v>0.02</c:v>
                </c:pt>
                <c:pt idx="5">
                  <c:v>-0.3</c:v>
                </c:pt>
                <c:pt idx="6">
                  <c:v>-1.3</c:v>
                </c:pt>
                <c:pt idx="7">
                  <c:v>-0.9</c:v>
                </c:pt>
                <c:pt idx="8">
                  <c:v>-1</c:v>
                </c:pt>
                <c:pt idx="9">
                  <c:v>-1.4</c:v>
                </c:pt>
                <c:pt idx="10">
                  <c:v>-1</c:v>
                </c:pt>
                <c:pt idx="11">
                  <c:v>4.8</c:v>
                </c:pt>
                <c:pt idx="12">
                  <c:v>4.2</c:v>
                </c:pt>
                <c:pt idx="13">
                  <c:v>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854848"/>
        <c:axId val="59856384"/>
      </c:lineChart>
      <c:catAx>
        <c:axId val="5985484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9856384"/>
        <c:crosses val="autoZero"/>
        <c:auto val="1"/>
        <c:lblAlgn val="ctr"/>
        <c:lblOffset val="100"/>
        <c:noMultiLvlLbl val="0"/>
      </c:catAx>
      <c:valAx>
        <c:axId val="59856384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5985484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67100192678227"/>
          <c:y val="0.217810218978102"/>
          <c:w val="0.896796724470135"/>
          <c:h val="0.480233576642336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[外网信息图.xls]投资!$A$90:$B$103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[外网信息图.xls]投资!$C$90:$C$103</c:f>
              <c:numCache>
                <c:formatCode>General</c:formatCode>
                <c:ptCount val="14"/>
                <c:pt idx="0">
                  <c:v>8.9</c:v>
                </c:pt>
                <c:pt idx="1">
                  <c:v>12.8</c:v>
                </c:pt>
                <c:pt idx="2">
                  <c:v>11.3</c:v>
                </c:pt>
                <c:pt idx="3">
                  <c:v>7.5</c:v>
                </c:pt>
                <c:pt idx="4">
                  <c:v>10.1</c:v>
                </c:pt>
                <c:pt idx="5">
                  <c:v>11.4</c:v>
                </c:pt>
                <c:pt idx="6">
                  <c:v>14.1</c:v>
                </c:pt>
                <c:pt idx="7">
                  <c:v>18.4</c:v>
                </c:pt>
                <c:pt idx="8">
                  <c:v>14.1</c:v>
                </c:pt>
                <c:pt idx="9">
                  <c:v>16.7</c:v>
                </c:pt>
                <c:pt idx="10" c:formatCode="0.0_ ">
                  <c:v>13</c:v>
                </c:pt>
                <c:pt idx="11">
                  <c:v>1.4</c:v>
                </c:pt>
                <c:pt idx="12">
                  <c:v>11.8</c:v>
                </c:pt>
                <c:pt idx="13">
                  <c:v>16.8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09088"/>
        <c:axId val="74410624"/>
      </c:lineChart>
      <c:catAx>
        <c:axId val="74409088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410624"/>
        <c:crosses val="autoZero"/>
        <c:auto val="1"/>
        <c:lblAlgn val="ctr"/>
        <c:lblOffset val="100"/>
        <c:noMultiLvlLbl val="0"/>
      </c:catAx>
      <c:valAx>
        <c:axId val="74410624"/>
        <c:scaling>
          <c:orientation val="minMax"/>
        </c:scaling>
        <c:delete val="0"/>
        <c:axPos val="l"/>
        <c:numFmt formatCode="#,##0.0_);[Red]\(#,##0.0\)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09088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66222098731129"/>
          <c:y val="0.215048769159313"/>
          <c:w val="0.914976382328425"/>
          <c:h val="0.504133766836972"/>
        </c:manualLayout>
      </c:layout>
      <c:lineChart>
        <c:grouping val="standard"/>
        <c:varyColors val="0"/>
        <c:ser>
          <c:idx val="0"/>
          <c:order val="0"/>
          <c:spPr>
            <a:ln w="25400" cap="rnd" cmpd="sng" algn="ctr">
              <a:solidFill>
                <a:schemeClr val="tx1"/>
              </a:solidFill>
              <a:prstDash val="solid"/>
              <a:round/>
            </a:ln>
          </c:spPr>
          <c:marker>
            <c:spPr>
              <a:solidFill>
                <a:sysClr val="windowText" lastClr="000000"/>
              </a:solidFill>
              <a:ln w="9525" cap="flat" cmpd="sng" algn="ctr">
                <a:solidFill>
                  <a:prstClr val="black"/>
                </a:solidFill>
                <a:prstDash val="solid"/>
                <a:round/>
              </a:ln>
            </c:spPr>
          </c:marker>
          <c:dPt>
            <c:idx val="11"/>
            <c:marker>
              <c:spPr>
                <a:solidFill>
                  <a:sysClr val="windowText" lastClr="000000"/>
                </a:solidFill>
                <a:ln w="9525" cap="flat" cmpd="sng" algn="ctr">
                  <a:solidFill>
                    <a:prstClr val="black"/>
                  </a:solidFill>
                  <a:prstDash val="solid"/>
                  <a:round/>
                </a:ln>
              </c:spPr>
            </c:marker>
            <c:bubble3D val="0"/>
            <c:spPr>
              <a:ln w="25400" cap="rnd" cmpd="sng" algn="ctr">
                <a:solidFill>
                  <a:schemeClr val="tx1"/>
                </a:solidFill>
                <a:prstDash val="solid"/>
                <a:round/>
              </a:ln>
            </c:spPr>
          </c:dPt>
          <c:dLbls>
            <c:delete val="1"/>
          </c:dLbls>
          <c:cat>
            <c:multiLvlStrRef>
              <c:f>[外网信息图.xls]零售额!$A$90:$B$103</c:f>
              <c:multiLvlStrCache>
                <c:ptCount val="14"/>
                <c:lvl>
                  <c:pt idx="0">
                    <c:v>1-2月</c:v>
                  </c:pt>
                  <c:pt idx="1">
                    <c:v>1-3月</c:v>
                  </c:pt>
                  <c:pt idx="2">
                    <c:v>1-4月</c:v>
                  </c:pt>
                  <c:pt idx="3">
                    <c:v>1-5月</c:v>
                  </c:pt>
                  <c:pt idx="4">
                    <c:v>1-6月</c:v>
                  </c:pt>
                  <c:pt idx="5">
                    <c:v>1-7月</c:v>
                  </c:pt>
                  <c:pt idx="6">
                    <c:v>1-8月</c:v>
                  </c:pt>
                  <c:pt idx="7">
                    <c:v>1-9月</c:v>
                  </c:pt>
                  <c:pt idx="8">
                    <c:v>1-10月</c:v>
                  </c:pt>
                  <c:pt idx="9">
                    <c:v>1-11月</c:v>
                  </c:pt>
                  <c:pt idx="10">
                    <c:v>1-12月</c:v>
                  </c:pt>
                  <c:pt idx="11">
                    <c:v>1-2月</c:v>
                  </c:pt>
                  <c:pt idx="12">
                    <c:v>1-3月</c:v>
                  </c:pt>
                  <c:pt idx="13">
                    <c:v>1-4月</c:v>
                  </c:pt>
                </c:lvl>
                <c:lvl>
                  <c:pt idx="0">
                    <c:v>2022年</c:v>
                  </c:pt>
                  <c:pt idx="11">
                    <c:v>2023年</c:v>
                  </c:pt>
                </c:lvl>
              </c:multiLvlStrCache>
            </c:multiLvlStrRef>
          </c:cat>
          <c:val>
            <c:numRef>
              <c:f>[外网信息图.xls]零售额!$C$90:$C$103</c:f>
              <c:numCache>
                <c:formatCode>0.0_ </c:formatCode>
                <c:ptCount val="14"/>
                <c:pt idx="0">
                  <c:v>0.2</c:v>
                </c:pt>
                <c:pt idx="1">
                  <c:v>-1.4</c:v>
                </c:pt>
                <c:pt idx="2">
                  <c:v>-6.2</c:v>
                </c:pt>
                <c:pt idx="3">
                  <c:v>-11.7</c:v>
                </c:pt>
                <c:pt idx="4">
                  <c:v>-11.3</c:v>
                </c:pt>
                <c:pt idx="5">
                  <c:v>-10.6</c:v>
                </c:pt>
                <c:pt idx="6">
                  <c:v>-9.3</c:v>
                </c:pt>
                <c:pt idx="7">
                  <c:v>-7.8</c:v>
                </c:pt>
                <c:pt idx="8">
                  <c:v>-8.1</c:v>
                </c:pt>
                <c:pt idx="9">
                  <c:v>-9.5</c:v>
                </c:pt>
                <c:pt idx="10">
                  <c:v>-10.5</c:v>
                </c:pt>
                <c:pt idx="11">
                  <c:v>-5.6</c:v>
                </c:pt>
                <c:pt idx="12">
                  <c:v>-2.6</c:v>
                </c:pt>
                <c:pt idx="13">
                  <c:v>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447872"/>
        <c:axId val="60162816"/>
      </c:lineChart>
      <c:catAx>
        <c:axId val="74447872"/>
        <c:scaling>
          <c:orientation val="minMax"/>
        </c:scaling>
        <c:delete val="0"/>
        <c:axPos val="b"/>
        <c:majorTickMark val="out"/>
        <c:minorTickMark val="none"/>
        <c:tickLblPos val="low"/>
        <c:txPr>
          <a:bodyPr rot="-54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60162816"/>
        <c:crosses val="autoZero"/>
        <c:auto val="1"/>
        <c:lblAlgn val="ctr"/>
        <c:lblOffset val="150"/>
        <c:noMultiLvlLbl val="0"/>
      </c:catAx>
      <c:valAx>
        <c:axId val="60162816"/>
        <c:scaling>
          <c:orientation val="minMax"/>
        </c:scaling>
        <c:delete val="0"/>
        <c:axPos val="l"/>
        <c:numFmt formatCode="0.0_ 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447872"/>
        <c:crosses val="autoZero"/>
        <c:crossBetween val="between"/>
      </c:valAx>
    </c:plotArea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972AB3-0B5A-4D70-915A-69439C02FE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48</Words>
  <Characters>276</Characters>
  <Lines>2</Lines>
  <Paragraphs>1</Paragraphs>
  <ScaleCrop>false</ScaleCrop>
  <LinksUpToDate>false</LinksUpToDate>
  <CharactersWithSpaces>323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2014-03-17T02:07:00Z</dcterms:created>
  <dc:creator>黄桂俊</dc:creator>
  <cp:lastModifiedBy>张娇娇</cp:lastModifiedBy>
  <cp:lastPrinted>2023-05-18T06:09:33Z</cp:lastPrinted>
  <dcterms:modified xsi:type="dcterms:W3CDTF">2023-05-18T06:09:37Z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