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1-4月</w:t>
      </w:r>
      <w:r>
        <w:rPr>
          <w:rFonts w:hint="eastAsia" w:ascii="宋体" w:hAnsi="宋体" w:cs="宋体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1-4月</w:t>
      </w:r>
      <w:r>
        <w:rPr>
          <w:rFonts w:hint="eastAsia" w:ascii="宋体" w:hAnsi="宋体" w:cs="宋体"/>
          <w:sz w:val="28"/>
          <w:szCs w:val="28"/>
        </w:rPr>
        <w:t>，朝阳区实现规模以上工业总产值</w:t>
      </w:r>
      <w:r>
        <w:rPr>
          <w:rFonts w:hint="eastAsia" w:ascii="宋体" w:hAnsi="宋体"/>
          <w:bCs/>
          <w:sz w:val="28"/>
          <w:szCs w:val="28"/>
        </w:rPr>
        <w:t>272.8亿元</w:t>
      </w:r>
      <w:r>
        <w:rPr>
          <w:rFonts w:hint="eastAsia" w:ascii="宋体" w:hAnsi="宋体" w:cs="宋体"/>
          <w:sz w:val="28"/>
          <w:szCs w:val="28"/>
        </w:rPr>
        <w:t>，同比增长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0.3%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  <w:r>
        <w:rPr>
          <w:rFonts w:hint="eastAsia" w:ascii="宋体" w:hAnsi="宋体" w:cs="宋体"/>
          <w:color w:val="auto"/>
          <w:sz w:val="28"/>
          <w:szCs w:val="28"/>
        </w:rPr>
        <w:t>分行业看，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1-4月</w:t>
      </w:r>
      <w:r>
        <w:rPr>
          <w:rFonts w:hint="eastAsia" w:ascii="宋体" w:hAnsi="宋体" w:cs="宋体"/>
          <w:color w:val="auto"/>
          <w:sz w:val="28"/>
          <w:szCs w:val="28"/>
        </w:rPr>
        <w:t>，在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个工业大类行业中</w:t>
      </w:r>
      <w:r>
        <w:rPr>
          <w:rFonts w:hint="eastAsia" w:ascii="宋体" w:hAnsi="宋体" w:cs="宋体"/>
          <w:color w:val="auto"/>
          <w:sz w:val="28"/>
          <w:szCs w:val="28"/>
        </w:rPr>
        <w:t>，14个行业产值同比增长，11个行业同比下降。</w:t>
      </w:r>
    </w:p>
    <w:p>
      <w:pPr>
        <w:spacing w:line="480" w:lineRule="auto"/>
        <w:jc w:val="center"/>
        <w:rPr>
          <w:rFonts w:ascii="宋体" w:hAnsi="宋体" w:cs="宋体"/>
          <w:b/>
          <w:w w:val="90"/>
          <w:sz w:val="28"/>
          <w:szCs w:val="28"/>
        </w:rPr>
      </w:pPr>
      <w:r>
        <w:rPr>
          <w:rFonts w:hint="eastAsia" w:ascii="宋体" w:hAnsi="宋体" w:cs="宋体"/>
          <w:b/>
          <w:w w:val="90"/>
          <w:sz w:val="28"/>
          <w:szCs w:val="28"/>
        </w:rPr>
        <w:t>图1  202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1-2月</w:t>
      </w:r>
      <w:r>
        <w:rPr>
          <w:rFonts w:hint="eastAsia" w:ascii="宋体" w:hAnsi="宋体" w:cs="宋体"/>
          <w:b/>
          <w:w w:val="90"/>
          <w:sz w:val="28"/>
          <w:szCs w:val="28"/>
        </w:rPr>
        <w:t>至202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1-4月</w:t>
      </w:r>
      <w:r>
        <w:rPr>
          <w:rFonts w:hint="eastAsia" w:ascii="宋体" w:hAnsi="宋体" w:cs="宋体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86280"/>
            <wp:effectExtent l="0" t="0" r="10160" b="762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2．固定资产投资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1-4月</w:t>
      </w:r>
      <w:r>
        <w:rPr>
          <w:rFonts w:hint="eastAsia" w:ascii="宋体" w:hAnsi="宋体" w:cs="宋体"/>
          <w:sz w:val="28"/>
          <w:szCs w:val="28"/>
        </w:rPr>
        <w:t>，朝阳区固定资产投资（不含农户）同比增长0.8%,其中，房地产开发投资同比</w:t>
      </w:r>
      <w:r>
        <w:rPr>
          <w:rFonts w:hint="eastAsia" w:ascii="宋体" w:hAnsi="宋体" w:cs="宋体"/>
          <w:kern w:val="0"/>
          <w:sz w:val="28"/>
          <w:szCs w:val="28"/>
        </w:rPr>
        <w:t>增长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11.4</w:t>
      </w:r>
      <w:r>
        <w:rPr>
          <w:rFonts w:hint="eastAsia" w:ascii="宋体" w:hAnsi="宋体" w:cs="宋体"/>
          <w:kern w:val="0"/>
          <w:sz w:val="28"/>
          <w:szCs w:val="28"/>
        </w:rPr>
        <w:t>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w w:val="90"/>
          <w:sz w:val="28"/>
          <w:szCs w:val="28"/>
        </w:rPr>
      </w:pP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 xml:space="preserve">图2  </w:t>
      </w:r>
      <w:r>
        <w:rPr>
          <w:rFonts w:hint="eastAsia" w:ascii="宋体" w:hAnsi="宋体" w:cs="宋体"/>
          <w:b/>
          <w:w w:val="90"/>
          <w:sz w:val="28"/>
          <w:szCs w:val="28"/>
        </w:rPr>
        <w:t>202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1-2月</w:t>
      </w:r>
      <w:r>
        <w:rPr>
          <w:rFonts w:hint="eastAsia" w:ascii="宋体" w:hAnsi="宋体" w:cs="宋体"/>
          <w:b/>
          <w:w w:val="90"/>
          <w:sz w:val="28"/>
          <w:szCs w:val="28"/>
        </w:rPr>
        <w:t>至202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1-4月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both"/>
        <w:rPr>
          <w:rFonts w:hint="eastAsia"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81835"/>
            <wp:effectExtent l="0" t="0" r="10160" b="1206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3．消费品市场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1-4月</w:t>
      </w:r>
      <w:r>
        <w:rPr>
          <w:rFonts w:hint="eastAsia" w:ascii="宋体" w:hAnsi="宋体" w:cs="宋体"/>
          <w:sz w:val="28"/>
          <w:szCs w:val="28"/>
        </w:rPr>
        <w:t>，朝阳区实现社会消费品零售总额1090.9亿元，同比下降2.1%。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sz w:val="28"/>
          <w:szCs w:val="28"/>
        </w:rPr>
      </w:pPr>
      <w:r>
        <w:rPr>
          <w:rFonts w:hint="eastAsia" w:ascii="宋体" w:hAnsi="宋体" w:cs="宋体"/>
          <w:b/>
          <w:spacing w:val="-6"/>
          <w:sz w:val="28"/>
          <w:szCs w:val="28"/>
        </w:rPr>
        <w:t xml:space="preserve">图3  </w:t>
      </w:r>
      <w:r>
        <w:rPr>
          <w:rFonts w:hint="eastAsia" w:ascii="宋体" w:hAnsi="宋体" w:cs="宋体"/>
          <w:b/>
          <w:w w:val="90"/>
          <w:sz w:val="28"/>
          <w:szCs w:val="28"/>
        </w:rPr>
        <w:t>202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1-2月</w:t>
      </w:r>
      <w:r>
        <w:rPr>
          <w:rFonts w:hint="eastAsia" w:ascii="宋体" w:hAnsi="宋体" w:cs="宋体"/>
          <w:b/>
          <w:w w:val="90"/>
          <w:sz w:val="28"/>
          <w:szCs w:val="28"/>
        </w:rPr>
        <w:t>至202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w w:val="90"/>
          <w:sz w:val="28"/>
          <w:szCs w:val="28"/>
        </w:rPr>
        <w:t>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1-4月</w:t>
      </w:r>
      <w:r>
        <w:rPr>
          <w:rFonts w:hint="eastAsia" w:ascii="宋体" w:hAnsi="宋体" w:cs="宋体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b/>
          <w:bCs/>
        </w:rPr>
      </w:pPr>
      <w:bookmarkStart w:id="0" w:name="_GoBack"/>
      <w:bookmarkEnd w:id="0"/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adjustRightInd w:val="0"/>
        <w:spacing w:line="48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ourceHanSansCN-Normal-Identity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A518BA"/>
    <w:rsid w:val="055F4794"/>
    <w:rsid w:val="06D206FE"/>
    <w:rsid w:val="079239A0"/>
    <w:rsid w:val="09FE6C99"/>
    <w:rsid w:val="0CD2757C"/>
    <w:rsid w:val="0E0941F6"/>
    <w:rsid w:val="0EAC2FE8"/>
    <w:rsid w:val="0EF546E1"/>
    <w:rsid w:val="10D16479"/>
    <w:rsid w:val="121C5A48"/>
    <w:rsid w:val="156C4552"/>
    <w:rsid w:val="1B5B5321"/>
    <w:rsid w:val="1CBF19CA"/>
    <w:rsid w:val="1F136385"/>
    <w:rsid w:val="20BC6E7B"/>
    <w:rsid w:val="22327339"/>
    <w:rsid w:val="22CA17D0"/>
    <w:rsid w:val="2372627F"/>
    <w:rsid w:val="2540269A"/>
    <w:rsid w:val="26362F2D"/>
    <w:rsid w:val="26D96D0C"/>
    <w:rsid w:val="2D627F28"/>
    <w:rsid w:val="34C25C14"/>
    <w:rsid w:val="35E80586"/>
    <w:rsid w:val="383B2A49"/>
    <w:rsid w:val="39CD7A11"/>
    <w:rsid w:val="3BDC11AE"/>
    <w:rsid w:val="3C242497"/>
    <w:rsid w:val="3CBF1BA4"/>
    <w:rsid w:val="41532AEA"/>
    <w:rsid w:val="41D47F41"/>
    <w:rsid w:val="422135F3"/>
    <w:rsid w:val="43062204"/>
    <w:rsid w:val="473D71C1"/>
    <w:rsid w:val="4CA2427C"/>
    <w:rsid w:val="4FB17C81"/>
    <w:rsid w:val="54770CC2"/>
    <w:rsid w:val="567C5CAC"/>
    <w:rsid w:val="5C2A2F81"/>
    <w:rsid w:val="5D3C397F"/>
    <w:rsid w:val="5E2451F4"/>
    <w:rsid w:val="5FC41B7D"/>
    <w:rsid w:val="62CB76AB"/>
    <w:rsid w:val="647A4536"/>
    <w:rsid w:val="664C647F"/>
    <w:rsid w:val="6927334E"/>
    <w:rsid w:val="6DA57E9F"/>
    <w:rsid w:val="72B0126F"/>
    <w:rsid w:val="75203DE9"/>
    <w:rsid w:val="75601036"/>
    <w:rsid w:val="75C7123D"/>
    <w:rsid w:val="771861AB"/>
    <w:rsid w:val="78103697"/>
    <w:rsid w:val="78A7092A"/>
    <w:rsid w:val="78C460F2"/>
    <w:rsid w:val="79CA22FD"/>
    <w:rsid w:val="7BA303AA"/>
    <w:rsid w:val="7FB54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7140211150213"/>
          <c:y val="0.170723574524842"/>
          <c:w val="0.924337840340804"/>
          <c:h val="0.514104701567189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[外网信息图.xls]工业!$A$101:$B$114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2023年</c:v>
                  </c:pt>
                  <c:pt idx="11">
                    <c:v>2024年</c:v>
                  </c:pt>
                </c:lvl>
              </c:multiLvlStrCache>
            </c:multiLvlStrRef>
          </c:cat>
          <c:val>
            <c:numRef>
              <c:f>[外网信息图.xls]工业!$C$101:$C$114</c:f>
              <c:numCache>
                <c:formatCode>0.0_ </c:formatCode>
                <c:ptCount val="14"/>
                <c:pt idx="0">
                  <c:v>4.8</c:v>
                </c:pt>
                <c:pt idx="1">
                  <c:v>4.2</c:v>
                </c:pt>
                <c:pt idx="2">
                  <c:v>3.6</c:v>
                </c:pt>
                <c:pt idx="3">
                  <c:v>5.7</c:v>
                </c:pt>
                <c:pt idx="4">
                  <c:v>5.1</c:v>
                </c:pt>
                <c:pt idx="5">
                  <c:v>2.3</c:v>
                </c:pt>
                <c:pt idx="6">
                  <c:v>1.6</c:v>
                </c:pt>
                <c:pt idx="7">
                  <c:v>1.7974</c:v>
                </c:pt>
                <c:pt idx="8">
                  <c:v>1.2</c:v>
                </c:pt>
                <c:pt idx="9">
                  <c:v>0.2</c:v>
                </c:pt>
                <c:pt idx="10">
                  <c:v>-0.9</c:v>
                </c:pt>
                <c:pt idx="11">
                  <c:v>-0.1894</c:v>
                </c:pt>
                <c:pt idx="12">
                  <c:v>0.586</c:v>
                </c:pt>
                <c:pt idx="13">
                  <c:v>0.3238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854848"/>
        <c:axId val="59856384"/>
      </c:lineChart>
      <c:catAx>
        <c:axId val="5985484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9856384"/>
        <c:crosses val="autoZero"/>
        <c:auto val="1"/>
        <c:lblAlgn val="ctr"/>
        <c:lblOffset val="100"/>
        <c:noMultiLvlLbl val="0"/>
      </c:catAx>
      <c:valAx>
        <c:axId val="59856384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985484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559955588453"/>
          <c:y val="0.0992656368700937"/>
          <c:w val="0.920706883789785"/>
          <c:h val="0.6256773866801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[外网信息图.xls]投资!$A$101:$B$114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2023年</c:v>
                  </c:pt>
                  <c:pt idx="11">
                    <c:v>2024年</c:v>
                  </c:pt>
                </c:lvl>
              </c:multiLvlStrCache>
            </c:multiLvlStrRef>
          </c:cat>
          <c:val>
            <c:numRef>
              <c:f>[外网信息图.xls]投资!$C$101:$C$114</c:f>
              <c:numCache>
                <c:formatCode>General</c:formatCode>
                <c:ptCount val="14"/>
                <c:pt idx="0">
                  <c:v>1.4</c:v>
                </c:pt>
                <c:pt idx="1">
                  <c:v>11.8</c:v>
                </c:pt>
                <c:pt idx="2">
                  <c:v>16.8</c:v>
                </c:pt>
                <c:pt idx="3">
                  <c:v>23.8</c:v>
                </c:pt>
                <c:pt idx="4">
                  <c:v>15.1</c:v>
                </c:pt>
                <c:pt idx="5">
                  <c:v>15.2</c:v>
                </c:pt>
                <c:pt idx="6">
                  <c:v>13.8</c:v>
                </c:pt>
                <c:pt idx="7">
                  <c:v>12.6</c:v>
                </c:pt>
                <c:pt idx="8">
                  <c:v>11.9</c:v>
                </c:pt>
                <c:pt idx="9" c:formatCode="0.0_ ">
                  <c:v>7</c:v>
                </c:pt>
                <c:pt idx="10">
                  <c:v>7.3</c:v>
                </c:pt>
                <c:pt idx="11" c:formatCode="0.0_ ">
                  <c:v>7.62759358628691</c:v>
                </c:pt>
                <c:pt idx="12" c:formatCode="0.0_ ">
                  <c:v>11.8267891698825</c:v>
                </c:pt>
                <c:pt idx="13" c:formatCode="0.0_ ">
                  <c:v>0.756588042779853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[外网信息图.xls]零售额!$A$101:$B$114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2023年</c:v>
                  </c:pt>
                  <c:pt idx="11">
                    <c:v>2024年</c:v>
                  </c:pt>
                </c:lvl>
              </c:multiLvlStrCache>
            </c:multiLvlStrRef>
          </c:cat>
          <c:val>
            <c:numRef>
              <c:f>[外网信息图.xls]零售额!$C$101:$C$114</c:f>
              <c:numCache>
                <c:formatCode>0.0_ </c:formatCode>
                <c:ptCount val="14"/>
                <c:pt idx="0">
                  <c:v>-5.6</c:v>
                </c:pt>
                <c:pt idx="1">
                  <c:v>-2.6</c:v>
                </c:pt>
                <c:pt idx="2">
                  <c:v>1</c:v>
                </c:pt>
                <c:pt idx="3">
                  <c:v>6.9</c:v>
                </c:pt>
                <c:pt idx="4">
                  <c:v>5.3</c:v>
                </c:pt>
                <c:pt idx="5">
                  <c:v>4.2</c:v>
                </c:pt>
                <c:pt idx="6">
                  <c:v>3.7</c:v>
                </c:pt>
                <c:pt idx="7">
                  <c:v>2.7</c:v>
                </c:pt>
                <c:pt idx="8">
                  <c:v>3.4</c:v>
                </c:pt>
                <c:pt idx="9">
                  <c:v>4.6</c:v>
                </c:pt>
                <c:pt idx="10">
                  <c:v>5.5</c:v>
                </c:pt>
                <c:pt idx="11">
                  <c:v>0.424981476701419</c:v>
                </c:pt>
                <c:pt idx="12">
                  <c:v>-1.3086653268425</c:v>
                </c:pt>
                <c:pt idx="13">
                  <c:v>-2.11775244020259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2023-05-18T06:09:00Z</cp:lastPrinted>
  <dcterms:modified xsi:type="dcterms:W3CDTF">2024-05-21T06:12:24Z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