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CB7C"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288CDCD4"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4"/>
        </w:rPr>
        <w:t>关于《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2026年“潮新春·马上购”消费券</w:t>
      </w:r>
    </w:p>
    <w:p w14:paraId="43B73154"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发放方案</w:t>
      </w:r>
      <w:r>
        <w:rPr>
          <w:rFonts w:hint="default" w:ascii="Times New Roman" w:hAnsi="Times New Roman" w:eastAsia="方正小标宋简体" w:cs="Times New Roman"/>
          <w:bCs/>
          <w:sz w:val="44"/>
          <w:szCs w:val="24"/>
        </w:rPr>
        <w:t>》的起草说明</w:t>
      </w:r>
    </w:p>
    <w:p w14:paraId="4909DD47">
      <w:pPr>
        <w:spacing w:after="0" w:line="600" w:lineRule="exact"/>
        <w:ind w:firstLine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8774B5">
      <w:pPr>
        <w:widowControl/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激发2026年春节期间消费活力，推动文商旅体业态融合发展，以“节庆+消费”助力区域经济高质量发展，朝阳区拟发放2026年“潮新春·马上购”消费券。朝阳区商务局、朝阳区文化和旅游局联合研究起草了《2026年“潮新春·马上购”消费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发放方案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，现对起草情况进行说明。</w:t>
      </w:r>
    </w:p>
    <w:p w14:paraId="0C210119">
      <w:pPr>
        <w:numPr>
          <w:ilvl w:val="0"/>
          <w:numId w:val="1"/>
        </w:numPr>
        <w:spacing w:after="0"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起草考虑</w:t>
      </w:r>
    </w:p>
    <w:p w14:paraId="5A4B3B18">
      <w:p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春节是传统消费旺季，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购物、餐饮、出行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、住宿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等需求集中释放。为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紧抓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节日契机，进一步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释放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消费潜力、繁荣节日市场，我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拟聚焦零售、餐饮、出行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服务、住宿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领域发放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消费券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营造欢乐祥和的节日消费氛围，持续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激发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区域消费活力。</w:t>
      </w:r>
    </w:p>
    <w:p w14:paraId="655571E5">
      <w:pPr>
        <w:numPr>
          <w:ilvl w:val="0"/>
          <w:numId w:val="1"/>
        </w:numPr>
        <w:spacing w:after="0"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 w14:paraId="5B242A64">
      <w:p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00万元消费券额度使用权统筹分配至平台，由平台对消费者进行公平公正公开的发放。</w:t>
      </w:r>
    </w:p>
    <w:p w14:paraId="27D64C5E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2.核销规则：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活动期间由平台自行核销。结合活动进程，由平台适时提交核销明细以及证明完成核销的材料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sz w:val="32"/>
          <w:szCs w:val="32"/>
        </w:rPr>
        <w:t>。政府委托第三方审核企业核销材料及核销明细。如材料或核销明细不齐全，应由企业退还相应金额。</w:t>
      </w:r>
    </w:p>
    <w:p w14:paraId="1937A4E3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3.动态监管：朝阳区商务局、朝阳区文化和旅游局对进行消费券发放情况进行动态监管。发券企业需及时向相关单位真实、准确提供核销情况。</w:t>
      </w:r>
    </w:p>
    <w:p w14:paraId="4EC1A4AA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 w14:paraId="11E602E5"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 w14:paraId="51FA4E3B"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4C0F"/>
    <w:rsid w:val="6F3E4C0F"/>
    <w:rsid w:val="71B16396"/>
    <w:rsid w:val="77FD4162"/>
    <w:rsid w:val="D2DE8008"/>
    <w:rsid w:val="DFB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3413</Words>
  <Characters>3622</Characters>
  <Lines>0</Lines>
  <Paragraphs>0</Paragraphs>
  <TotalTime>3</TotalTime>
  <ScaleCrop>false</ScaleCrop>
  <LinksUpToDate>false</LinksUpToDate>
  <CharactersWithSpaces>3624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2026-01-23T22:06:00Z</dcterms:created>
  <dc:creator>uos</dc:creator>
  <cp:lastModifiedBy>王艳萍</cp:lastModifiedBy>
  <dcterms:modified xsi:type="dcterms:W3CDTF">2026-02-06T02:38:26Z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eyJoZGlkIjoiZmY1NWFmZjIxMmM5NDg5MWQ4ZmZkZDA2MWI0NjBkMjIiLCJ1c2VySWQiOiIyODQ1NTY4OTgifQ==</vt:lpwstr>
  </property>
  <property fmtid="{D5CDD505-2E9C-101B-9397-08002B2CF9AE}" pid="4" name="ICV">
    <vt:lpwstr>0DB40F67EB3445A7941C5987224B9959_13</vt:lpwstr>
  </property>
</Properties>
</file>