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E398E">
      <w:pPr>
        <w:pStyle w:val="2"/>
        <w:rPr>
          <w:rFonts w:eastAsia="方正小标宋简体"/>
          <w:sz w:val="44"/>
        </w:rPr>
      </w:pPr>
      <w:bookmarkStart w:id="0" w:name="_Toc215097114"/>
      <w:bookmarkStart w:id="1" w:name="_Toc215097260"/>
      <w:bookmarkStart w:id="2" w:name="_Toc214980708"/>
    </w:p>
    <w:p w14:paraId="450AE316">
      <w:pPr>
        <w:pStyle w:val="2"/>
        <w:rPr>
          <w:rFonts w:eastAsia="方正小标宋简体"/>
          <w:sz w:val="44"/>
        </w:rPr>
      </w:pPr>
    </w:p>
    <w:p w14:paraId="7399D2CE">
      <w:pPr>
        <w:pStyle w:val="2"/>
        <w:rPr>
          <w:rFonts w:eastAsia="方正小标宋简体"/>
          <w:sz w:val="44"/>
        </w:rPr>
      </w:pPr>
    </w:p>
    <w:p w14:paraId="6D312332">
      <w:pPr>
        <w:pStyle w:val="2"/>
        <w:rPr>
          <w:rFonts w:eastAsia="方正小标宋简体"/>
          <w:sz w:val="44"/>
        </w:rPr>
      </w:pPr>
      <w:bookmarkStart w:id="3" w:name="_Toc224228551"/>
      <w:bookmarkStart w:id="4" w:name="_Toc219306275"/>
      <w:bookmarkStart w:id="5" w:name="_Toc223195885"/>
      <w:bookmarkStart w:id="6" w:name="_Toc25136"/>
      <w:bookmarkStart w:id="7" w:name="_Toc215568103"/>
      <w:bookmarkStart w:id="8" w:name="_Toc223105498"/>
      <w:bookmarkStart w:id="9" w:name="_Toc28789"/>
      <w:bookmarkStart w:id="10" w:name="_Toc220082275"/>
      <w:bookmarkStart w:id="11" w:name="_Toc220082446"/>
      <w:bookmarkStart w:id="12" w:name="_Toc215659223"/>
      <w:bookmarkStart w:id="13" w:name="_Toc223708822"/>
      <w:bookmarkStart w:id="14" w:name="_Toc224580318"/>
      <w:bookmarkStart w:id="15" w:name="_Toc223537436"/>
      <w:bookmarkStart w:id="16" w:name="_Toc223594155"/>
      <w:bookmarkStart w:id="17" w:name="_Toc23983"/>
      <w:r>
        <w:rPr>
          <w:rFonts w:hint="eastAsia" w:eastAsia="方正小标宋简体"/>
          <w:sz w:val="44"/>
        </w:rPr>
        <w:t>北京市朝阳区“无废城市”建设实施方案</w:t>
      </w:r>
      <w:bookmarkEnd w:id="0"/>
      <w:bookmarkEnd w:id="1"/>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45C752B9">
      <w:pPr>
        <w:pStyle w:val="2"/>
      </w:pPr>
      <w:bookmarkStart w:id="18" w:name="_Toc224580319"/>
      <w:bookmarkStart w:id="19" w:name="_Toc14269"/>
      <w:bookmarkStart w:id="20" w:name="_Toc220082276"/>
      <w:bookmarkStart w:id="21" w:name="_Toc223195886"/>
      <w:bookmarkStart w:id="22" w:name="_Toc223708823"/>
      <w:bookmarkStart w:id="23" w:name="_Toc215659224"/>
      <w:bookmarkStart w:id="24" w:name="_Toc223537437"/>
      <w:bookmarkStart w:id="25" w:name="_Toc220082447"/>
      <w:bookmarkStart w:id="26" w:name="_Toc24601"/>
      <w:bookmarkStart w:id="27" w:name="_Toc215568104"/>
      <w:bookmarkStart w:id="28" w:name="_Toc224228552"/>
      <w:bookmarkStart w:id="29" w:name="_Toc23898"/>
      <w:bookmarkStart w:id="30" w:name="_Toc223594156"/>
      <w:bookmarkStart w:id="31" w:name="_Toc223105499"/>
      <w:bookmarkStart w:id="32" w:name="_Toc219306276"/>
      <w:r>
        <w:rPr>
          <w:rFonts w:hint="eastAsia"/>
        </w:rPr>
        <w:t>（征求意见稿）</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4ECCF83E">
      <w:pPr>
        <w:ind w:firstLine="640"/>
      </w:pPr>
    </w:p>
    <w:p w14:paraId="759E6C4A">
      <w:pPr>
        <w:ind w:firstLine="640"/>
      </w:pPr>
    </w:p>
    <w:p w14:paraId="6978E364">
      <w:pPr>
        <w:ind w:firstLine="640"/>
      </w:pPr>
    </w:p>
    <w:p w14:paraId="036F510C">
      <w:pPr>
        <w:ind w:firstLine="640"/>
      </w:pPr>
    </w:p>
    <w:p w14:paraId="64709714">
      <w:pPr>
        <w:ind w:firstLine="640"/>
      </w:pPr>
    </w:p>
    <w:p w14:paraId="72A1B6AC">
      <w:pPr>
        <w:ind w:firstLine="640"/>
      </w:pPr>
    </w:p>
    <w:p w14:paraId="64B28B3E">
      <w:pPr>
        <w:ind w:firstLine="640"/>
      </w:pPr>
    </w:p>
    <w:p w14:paraId="52B90808">
      <w:pPr>
        <w:ind w:firstLine="640"/>
      </w:pPr>
    </w:p>
    <w:p w14:paraId="0D37DE2C">
      <w:pPr>
        <w:ind w:firstLine="640"/>
      </w:pPr>
    </w:p>
    <w:p w14:paraId="0FE0AF39">
      <w:pPr>
        <w:ind w:firstLine="640"/>
      </w:pPr>
    </w:p>
    <w:p w14:paraId="04D21046">
      <w:pPr>
        <w:ind w:firstLine="640"/>
      </w:pPr>
    </w:p>
    <w:p w14:paraId="317AC177">
      <w:pPr>
        <w:ind w:firstLine="640"/>
      </w:pPr>
    </w:p>
    <w:p w14:paraId="79759E15">
      <w:pPr>
        <w:ind w:firstLine="640"/>
      </w:pPr>
    </w:p>
    <w:p w14:paraId="70A48E0F">
      <w:pPr>
        <w:ind w:firstLine="0" w:firstLineChars="0"/>
        <w:jc w:val="center"/>
      </w:pPr>
      <w:r>
        <w:rPr>
          <w:rFonts w:hint="eastAsia"/>
        </w:rPr>
        <w:t>2</w:t>
      </w:r>
      <w:r>
        <w:t>026</w:t>
      </w:r>
      <w:r>
        <w:rPr>
          <w:rFonts w:hint="eastAsia"/>
        </w:rPr>
        <w:t>年</w:t>
      </w:r>
      <w:r>
        <w:t>3</w:t>
      </w:r>
      <w:r>
        <w:rPr>
          <w:rFonts w:hint="eastAsia"/>
        </w:rPr>
        <w:t>月</w:t>
      </w:r>
      <w:r>
        <w:rPr>
          <w:rFonts w:hint="eastAsia"/>
          <w:lang w:val="en-US" w:eastAsia="zh-CN"/>
        </w:rPr>
        <w:t>24</w:t>
      </w:r>
      <w:r>
        <w:rPr>
          <w:rFonts w:hint="eastAsia"/>
        </w:rPr>
        <w:t>日</w:t>
      </w:r>
    </w:p>
    <w:p w14:paraId="7093084A">
      <w:pPr>
        <w:widowControl/>
        <w:adjustRightInd/>
        <w:snapToGrid/>
        <w:spacing w:line="240" w:lineRule="auto"/>
        <w:ind w:firstLine="0" w:firstLineChars="0"/>
        <w:jc w:val="left"/>
      </w:pPr>
      <w:r>
        <w:br w:type="page"/>
      </w:r>
    </w:p>
    <w:p w14:paraId="4BCAE4B6">
      <w:pPr>
        <w:ind w:firstLine="0" w:firstLineChars="0"/>
        <w:jc w:val="center"/>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283" w:footer="283" w:gutter="0"/>
          <w:pgNumType w:start="1"/>
          <w:cols w:space="425" w:num="1"/>
          <w:docGrid w:type="linesAndChars" w:linePitch="435" w:charSpace="0"/>
        </w:sectPr>
      </w:pPr>
    </w:p>
    <w:p w14:paraId="192CA09D">
      <w:pPr>
        <w:ind w:firstLine="0" w:firstLineChars="0"/>
        <w:jc w:val="center"/>
      </w:pPr>
    </w:p>
    <w:p w14:paraId="2C452CF9">
      <w:pPr>
        <w:ind w:firstLine="640"/>
        <w:jc w:val="center"/>
        <w:rPr>
          <w:rFonts w:ascii="黑体" w:hAnsi="黑体" w:eastAsia="黑体"/>
        </w:rPr>
      </w:pPr>
      <w:r>
        <w:rPr>
          <w:rFonts w:hint="eastAsia" w:ascii="黑体" w:hAnsi="黑体" w:eastAsia="黑体"/>
        </w:rPr>
        <w:t>目</w:t>
      </w:r>
      <w:r>
        <w:rPr>
          <w:rFonts w:ascii="黑体" w:hAnsi="黑体" w:eastAsia="黑体"/>
        </w:rPr>
        <w:t xml:space="preserve"> </w:t>
      </w:r>
      <w:r>
        <w:rPr>
          <w:rFonts w:hint="eastAsia" w:ascii="黑体" w:hAnsi="黑体" w:eastAsia="黑体"/>
        </w:rPr>
        <w:t>录</w:t>
      </w:r>
    </w:p>
    <w:sdt>
      <w:sdtPr>
        <w:rPr>
          <w:rFonts w:ascii="Times New Roman" w:hAnsi="Times New Roman"/>
          <w:bCs w:val="0"/>
          <w:caps w:val="0"/>
          <w:sz w:val="32"/>
          <w:lang w:val="zh-CN"/>
        </w:rPr>
        <w:id w:val="-653297109"/>
        <w:docPartObj>
          <w:docPartGallery w:val="Table of Contents"/>
          <w:docPartUnique/>
        </w:docPartObj>
      </w:sdtPr>
      <w:sdtEndPr>
        <w:rPr>
          <w:rFonts w:asciiTheme="minorHAnsi" w:hAnsiTheme="minorHAnsi"/>
          <w:b w:val="0"/>
          <w:bCs/>
          <w:caps/>
          <w:sz w:val="24"/>
          <w:lang w:val="zh-CN"/>
        </w:rPr>
      </w:sdtEndPr>
      <w:sdtContent>
        <w:p w14:paraId="46863D9A">
          <w:pPr>
            <w:pStyle w:val="22"/>
            <w:tabs>
              <w:tab w:val="right" w:leader="dot" w:pos="8302"/>
            </w:tabs>
            <w:rPr>
              <w:rFonts w:ascii="Times New Roman" w:hAnsi="Times New Roman"/>
              <w:bCs w:val="0"/>
              <w:caps w:val="0"/>
              <w:sz w:val="32"/>
              <w:lang w:val="zh-CN"/>
            </w:rPr>
          </w:pPr>
        </w:p>
        <w:p w14:paraId="68A9B39A">
          <w:pPr>
            <w:pStyle w:val="22"/>
            <w:tabs>
              <w:tab w:val="right" w:leader="dot" w:pos="8312"/>
            </w:tabs>
          </w:pPr>
          <w:r>
            <w:rPr>
              <w:b w:val="0"/>
              <w:bCs w:val="0"/>
              <w:lang w:val="zh-CN"/>
            </w:rPr>
            <w:fldChar w:fldCharType="begin"/>
          </w:r>
          <w:r>
            <w:rPr>
              <w:b w:val="0"/>
              <w:bCs w:val="0"/>
              <w:lang w:val="zh-CN"/>
            </w:rPr>
            <w:instrText xml:space="preserve"> TOC \o "1-3" \h \z \u </w:instrText>
          </w:r>
          <w:r>
            <w:rPr>
              <w:b w:val="0"/>
              <w:bCs w:val="0"/>
              <w:lang w:val="zh-CN"/>
            </w:rPr>
            <w:fldChar w:fldCharType="separate"/>
          </w:r>
        </w:p>
        <w:p w14:paraId="6EBF8414">
          <w:pPr>
            <w:pStyle w:val="22"/>
            <w:tabs>
              <w:tab w:val="right" w:leader="dot" w:pos="8312"/>
            </w:tabs>
          </w:pPr>
          <w:r>
            <w:rPr>
              <w:bCs w:val="0"/>
              <w:lang w:val="zh-CN"/>
            </w:rPr>
            <w:fldChar w:fldCharType="begin"/>
          </w:r>
          <w:r>
            <w:rPr>
              <w:bCs w:val="0"/>
              <w:lang w:val="zh-CN"/>
            </w:rPr>
            <w:instrText xml:space="preserve"> HYPERLINK \l _Toc7616 </w:instrText>
          </w:r>
          <w:r>
            <w:rPr>
              <w:bCs w:val="0"/>
              <w:lang w:val="zh-CN"/>
            </w:rPr>
            <w:fldChar w:fldCharType="separate"/>
          </w:r>
          <w:r>
            <w:rPr>
              <w:rFonts w:hint="eastAsia"/>
              <w:szCs w:val="32"/>
            </w:rPr>
            <w:t>一、开展“无废城市”建设的重要意义</w:t>
          </w:r>
          <w:r>
            <w:tab/>
          </w:r>
          <w:r>
            <w:fldChar w:fldCharType="begin"/>
          </w:r>
          <w:r>
            <w:instrText xml:space="preserve"> PAGEREF _Toc7616 \h </w:instrText>
          </w:r>
          <w:r>
            <w:fldChar w:fldCharType="separate"/>
          </w:r>
          <w:r>
            <w:t>3</w:t>
          </w:r>
          <w:r>
            <w:fldChar w:fldCharType="end"/>
          </w:r>
          <w:r>
            <w:rPr>
              <w:bCs w:val="0"/>
              <w:lang w:val="zh-CN"/>
            </w:rPr>
            <w:fldChar w:fldCharType="end"/>
          </w:r>
        </w:p>
        <w:p w14:paraId="5DD6D6EA">
          <w:pPr>
            <w:pStyle w:val="22"/>
            <w:tabs>
              <w:tab w:val="right" w:leader="dot" w:pos="8312"/>
            </w:tabs>
          </w:pPr>
          <w:r>
            <w:rPr>
              <w:bCs w:val="0"/>
              <w:lang w:val="zh-CN"/>
            </w:rPr>
            <w:fldChar w:fldCharType="begin"/>
          </w:r>
          <w:r>
            <w:rPr>
              <w:bCs w:val="0"/>
              <w:lang w:val="zh-CN"/>
            </w:rPr>
            <w:instrText xml:space="preserve"> HYPERLINK \l _Toc5769 </w:instrText>
          </w:r>
          <w:r>
            <w:rPr>
              <w:bCs w:val="0"/>
              <w:lang w:val="zh-CN"/>
            </w:rPr>
            <w:fldChar w:fldCharType="separate"/>
          </w:r>
          <w:r>
            <w:rPr>
              <w:rFonts w:hint="eastAsia"/>
              <w:szCs w:val="32"/>
            </w:rPr>
            <w:t>二、指导思想和原则</w:t>
          </w:r>
          <w:r>
            <w:tab/>
          </w:r>
          <w:r>
            <w:fldChar w:fldCharType="begin"/>
          </w:r>
          <w:r>
            <w:instrText xml:space="preserve"> PAGEREF _Toc5769 \h </w:instrText>
          </w:r>
          <w:r>
            <w:fldChar w:fldCharType="separate"/>
          </w:r>
          <w:r>
            <w:t>4</w:t>
          </w:r>
          <w:r>
            <w:fldChar w:fldCharType="end"/>
          </w:r>
          <w:r>
            <w:rPr>
              <w:bCs w:val="0"/>
              <w:lang w:val="zh-CN"/>
            </w:rPr>
            <w:fldChar w:fldCharType="end"/>
          </w:r>
        </w:p>
        <w:p w14:paraId="77C1DA5F">
          <w:pPr>
            <w:pStyle w:val="28"/>
            <w:tabs>
              <w:tab w:val="right" w:leader="dot" w:pos="8312"/>
            </w:tabs>
          </w:pPr>
          <w:r>
            <w:rPr>
              <w:bCs w:val="0"/>
              <w:lang w:val="zh-CN"/>
            </w:rPr>
            <w:fldChar w:fldCharType="begin"/>
          </w:r>
          <w:r>
            <w:rPr>
              <w:bCs w:val="0"/>
              <w:lang w:val="zh-CN"/>
            </w:rPr>
            <w:instrText xml:space="preserve"> HYPERLINK \l _Toc21919 </w:instrText>
          </w:r>
          <w:r>
            <w:rPr>
              <w:bCs w:val="0"/>
              <w:lang w:val="zh-CN"/>
            </w:rPr>
            <w:fldChar w:fldCharType="separate"/>
          </w:r>
          <w:r>
            <w:rPr>
              <w:rFonts w:hint="eastAsia" w:ascii="仿宋_GB2312" w:eastAsia="仿宋_GB2312"/>
            </w:rPr>
            <w:t>（一）指导思想</w:t>
          </w:r>
          <w:r>
            <w:tab/>
          </w:r>
          <w:r>
            <w:fldChar w:fldCharType="begin"/>
          </w:r>
          <w:r>
            <w:instrText xml:space="preserve"> PAGEREF _Toc21919 \h </w:instrText>
          </w:r>
          <w:r>
            <w:fldChar w:fldCharType="separate"/>
          </w:r>
          <w:r>
            <w:t>4</w:t>
          </w:r>
          <w:r>
            <w:fldChar w:fldCharType="end"/>
          </w:r>
          <w:r>
            <w:rPr>
              <w:bCs w:val="0"/>
              <w:lang w:val="zh-CN"/>
            </w:rPr>
            <w:fldChar w:fldCharType="end"/>
          </w:r>
        </w:p>
        <w:p w14:paraId="5CF4CE7C">
          <w:pPr>
            <w:pStyle w:val="28"/>
            <w:tabs>
              <w:tab w:val="right" w:leader="dot" w:pos="8312"/>
            </w:tabs>
          </w:pPr>
          <w:r>
            <w:rPr>
              <w:bCs w:val="0"/>
              <w:lang w:val="zh-CN"/>
            </w:rPr>
            <w:fldChar w:fldCharType="begin"/>
          </w:r>
          <w:r>
            <w:rPr>
              <w:bCs w:val="0"/>
              <w:lang w:val="zh-CN"/>
            </w:rPr>
            <w:instrText xml:space="preserve"> HYPERLINK \l _Toc8189 </w:instrText>
          </w:r>
          <w:r>
            <w:rPr>
              <w:bCs w:val="0"/>
              <w:lang w:val="zh-CN"/>
            </w:rPr>
            <w:fldChar w:fldCharType="separate"/>
          </w:r>
          <w:r>
            <w:rPr>
              <w:rFonts w:hint="eastAsia" w:ascii="仿宋_GB2312" w:eastAsia="仿宋_GB2312"/>
            </w:rPr>
            <w:t>（二）基本原则</w:t>
          </w:r>
          <w:r>
            <w:tab/>
          </w:r>
          <w:r>
            <w:fldChar w:fldCharType="begin"/>
          </w:r>
          <w:r>
            <w:instrText xml:space="preserve"> PAGEREF _Toc8189 \h </w:instrText>
          </w:r>
          <w:r>
            <w:fldChar w:fldCharType="separate"/>
          </w:r>
          <w:r>
            <w:t>5</w:t>
          </w:r>
          <w:r>
            <w:fldChar w:fldCharType="end"/>
          </w:r>
          <w:r>
            <w:rPr>
              <w:bCs w:val="0"/>
              <w:lang w:val="zh-CN"/>
            </w:rPr>
            <w:fldChar w:fldCharType="end"/>
          </w:r>
        </w:p>
        <w:p w14:paraId="060074B7">
          <w:pPr>
            <w:pStyle w:val="15"/>
            <w:tabs>
              <w:tab w:val="right" w:leader="dot" w:pos="8312"/>
              <w:tab w:val="clear" w:pos="8302"/>
            </w:tabs>
          </w:pPr>
          <w:r>
            <w:rPr>
              <w:bCs w:val="0"/>
              <w:lang w:val="zh-CN"/>
            </w:rPr>
            <w:fldChar w:fldCharType="begin"/>
          </w:r>
          <w:r>
            <w:rPr>
              <w:bCs w:val="0"/>
              <w:lang w:val="zh-CN"/>
            </w:rPr>
            <w:instrText xml:space="preserve"> HYPERLINK \l _Toc24118 </w:instrText>
          </w:r>
          <w:r>
            <w:rPr>
              <w:bCs w:val="0"/>
              <w:lang w:val="zh-CN"/>
            </w:rPr>
            <w:fldChar w:fldCharType="separate"/>
          </w:r>
          <w:r>
            <w:rPr>
              <w:rFonts w:hint="eastAsia"/>
            </w:rPr>
            <w:t>坚持系统谋划，彰显特色</w:t>
          </w:r>
          <w:r>
            <w:tab/>
          </w:r>
          <w:r>
            <w:fldChar w:fldCharType="begin"/>
          </w:r>
          <w:r>
            <w:instrText xml:space="preserve"> PAGEREF _Toc24118 \h </w:instrText>
          </w:r>
          <w:r>
            <w:fldChar w:fldCharType="separate"/>
          </w:r>
          <w:r>
            <w:t>5</w:t>
          </w:r>
          <w:r>
            <w:fldChar w:fldCharType="end"/>
          </w:r>
          <w:r>
            <w:rPr>
              <w:bCs w:val="0"/>
              <w:lang w:val="zh-CN"/>
            </w:rPr>
            <w:fldChar w:fldCharType="end"/>
          </w:r>
        </w:p>
        <w:p w14:paraId="6421E09A">
          <w:pPr>
            <w:pStyle w:val="15"/>
            <w:tabs>
              <w:tab w:val="right" w:leader="dot" w:pos="8312"/>
              <w:tab w:val="clear" w:pos="8302"/>
            </w:tabs>
          </w:pPr>
          <w:r>
            <w:rPr>
              <w:bCs w:val="0"/>
              <w:lang w:val="zh-CN"/>
            </w:rPr>
            <w:fldChar w:fldCharType="begin"/>
          </w:r>
          <w:r>
            <w:rPr>
              <w:bCs w:val="0"/>
              <w:lang w:val="zh-CN"/>
            </w:rPr>
            <w:instrText xml:space="preserve"> HYPERLINK \l _Toc28419 </w:instrText>
          </w:r>
          <w:r>
            <w:rPr>
              <w:bCs w:val="0"/>
              <w:lang w:val="zh-CN"/>
            </w:rPr>
            <w:fldChar w:fldCharType="separate"/>
          </w:r>
          <w:r>
            <w:rPr>
              <w:rFonts w:hint="eastAsia"/>
            </w:rPr>
            <w:t>坚持利民惠民，共建共享</w:t>
          </w:r>
          <w:r>
            <w:tab/>
          </w:r>
          <w:r>
            <w:fldChar w:fldCharType="begin"/>
          </w:r>
          <w:r>
            <w:instrText xml:space="preserve"> PAGEREF _Toc28419 \h </w:instrText>
          </w:r>
          <w:r>
            <w:fldChar w:fldCharType="separate"/>
          </w:r>
          <w:r>
            <w:t>5</w:t>
          </w:r>
          <w:r>
            <w:fldChar w:fldCharType="end"/>
          </w:r>
          <w:r>
            <w:rPr>
              <w:bCs w:val="0"/>
              <w:lang w:val="zh-CN"/>
            </w:rPr>
            <w:fldChar w:fldCharType="end"/>
          </w:r>
        </w:p>
        <w:p w14:paraId="2D60D03D">
          <w:pPr>
            <w:pStyle w:val="15"/>
            <w:tabs>
              <w:tab w:val="right" w:leader="dot" w:pos="8312"/>
              <w:tab w:val="clear" w:pos="8302"/>
            </w:tabs>
          </w:pPr>
          <w:r>
            <w:rPr>
              <w:bCs w:val="0"/>
              <w:lang w:val="zh-CN"/>
            </w:rPr>
            <w:fldChar w:fldCharType="begin"/>
          </w:r>
          <w:r>
            <w:rPr>
              <w:bCs w:val="0"/>
              <w:lang w:val="zh-CN"/>
            </w:rPr>
            <w:instrText xml:space="preserve"> HYPERLINK \l _Toc12254 </w:instrText>
          </w:r>
          <w:r>
            <w:rPr>
              <w:bCs w:val="0"/>
              <w:lang w:val="zh-CN"/>
            </w:rPr>
            <w:fldChar w:fldCharType="separate"/>
          </w:r>
          <w:r>
            <w:rPr>
              <w:rFonts w:hint="eastAsia"/>
            </w:rPr>
            <w:t>坚持目标导向，重点突出</w:t>
          </w:r>
          <w:r>
            <w:tab/>
          </w:r>
          <w:r>
            <w:fldChar w:fldCharType="begin"/>
          </w:r>
          <w:r>
            <w:instrText xml:space="preserve"> PAGEREF _Toc12254 \h </w:instrText>
          </w:r>
          <w:r>
            <w:fldChar w:fldCharType="separate"/>
          </w:r>
          <w:r>
            <w:t>5</w:t>
          </w:r>
          <w:r>
            <w:fldChar w:fldCharType="end"/>
          </w:r>
          <w:r>
            <w:rPr>
              <w:bCs w:val="0"/>
              <w:lang w:val="zh-CN"/>
            </w:rPr>
            <w:fldChar w:fldCharType="end"/>
          </w:r>
        </w:p>
        <w:p w14:paraId="643EA957">
          <w:pPr>
            <w:pStyle w:val="15"/>
            <w:tabs>
              <w:tab w:val="right" w:leader="dot" w:pos="8312"/>
              <w:tab w:val="clear" w:pos="8302"/>
            </w:tabs>
          </w:pPr>
          <w:r>
            <w:rPr>
              <w:bCs w:val="0"/>
              <w:lang w:val="zh-CN"/>
            </w:rPr>
            <w:fldChar w:fldCharType="begin"/>
          </w:r>
          <w:r>
            <w:rPr>
              <w:bCs w:val="0"/>
              <w:lang w:val="zh-CN"/>
            </w:rPr>
            <w:instrText xml:space="preserve"> HYPERLINK \l _Toc21110 </w:instrText>
          </w:r>
          <w:r>
            <w:rPr>
              <w:bCs w:val="0"/>
              <w:lang w:val="zh-CN"/>
            </w:rPr>
            <w:fldChar w:fldCharType="separate"/>
          </w:r>
          <w:r>
            <w:rPr>
              <w:rFonts w:hint="eastAsia"/>
            </w:rPr>
            <w:t>坚持科技创新，深化改革</w:t>
          </w:r>
          <w:r>
            <w:tab/>
          </w:r>
          <w:r>
            <w:fldChar w:fldCharType="begin"/>
          </w:r>
          <w:r>
            <w:instrText xml:space="preserve"> PAGEREF _Toc21110 \h </w:instrText>
          </w:r>
          <w:r>
            <w:fldChar w:fldCharType="separate"/>
          </w:r>
          <w:r>
            <w:t>5</w:t>
          </w:r>
          <w:r>
            <w:fldChar w:fldCharType="end"/>
          </w:r>
          <w:r>
            <w:rPr>
              <w:bCs w:val="0"/>
              <w:lang w:val="zh-CN"/>
            </w:rPr>
            <w:fldChar w:fldCharType="end"/>
          </w:r>
        </w:p>
        <w:p w14:paraId="5F0E9616">
          <w:pPr>
            <w:pStyle w:val="28"/>
            <w:tabs>
              <w:tab w:val="right" w:leader="dot" w:pos="8312"/>
            </w:tabs>
          </w:pPr>
          <w:r>
            <w:rPr>
              <w:bCs w:val="0"/>
              <w:lang w:val="zh-CN"/>
            </w:rPr>
            <w:fldChar w:fldCharType="begin"/>
          </w:r>
          <w:r>
            <w:rPr>
              <w:bCs w:val="0"/>
              <w:lang w:val="zh-CN"/>
            </w:rPr>
            <w:instrText xml:space="preserve"> HYPERLINK \l _Toc15975 </w:instrText>
          </w:r>
          <w:r>
            <w:rPr>
              <w:bCs w:val="0"/>
              <w:lang w:val="zh-CN"/>
            </w:rPr>
            <w:fldChar w:fldCharType="separate"/>
          </w:r>
          <w:r>
            <w:rPr>
              <w:rFonts w:hint="eastAsia" w:ascii="仿宋_GB2312" w:eastAsia="仿宋_GB2312"/>
            </w:rPr>
            <w:t>（三）建设范围和时限</w:t>
          </w:r>
          <w:r>
            <w:tab/>
          </w:r>
          <w:r>
            <w:fldChar w:fldCharType="begin"/>
          </w:r>
          <w:r>
            <w:instrText xml:space="preserve"> PAGEREF _Toc15975 \h </w:instrText>
          </w:r>
          <w:r>
            <w:fldChar w:fldCharType="separate"/>
          </w:r>
          <w:r>
            <w:t>6</w:t>
          </w:r>
          <w:r>
            <w:fldChar w:fldCharType="end"/>
          </w:r>
          <w:r>
            <w:rPr>
              <w:bCs w:val="0"/>
              <w:lang w:val="zh-CN"/>
            </w:rPr>
            <w:fldChar w:fldCharType="end"/>
          </w:r>
        </w:p>
        <w:p w14:paraId="7DF20839">
          <w:pPr>
            <w:pStyle w:val="22"/>
            <w:tabs>
              <w:tab w:val="right" w:leader="dot" w:pos="8312"/>
            </w:tabs>
          </w:pPr>
          <w:r>
            <w:rPr>
              <w:bCs w:val="0"/>
              <w:lang w:val="zh-CN"/>
            </w:rPr>
            <w:fldChar w:fldCharType="begin"/>
          </w:r>
          <w:r>
            <w:rPr>
              <w:bCs w:val="0"/>
              <w:lang w:val="zh-CN"/>
            </w:rPr>
            <w:instrText xml:space="preserve"> HYPERLINK \l _Toc13780 </w:instrText>
          </w:r>
          <w:r>
            <w:rPr>
              <w:bCs w:val="0"/>
              <w:lang w:val="zh-CN"/>
            </w:rPr>
            <w:fldChar w:fldCharType="separate"/>
          </w:r>
          <w:r>
            <w:rPr>
              <w:rFonts w:hint="eastAsia"/>
              <w:szCs w:val="32"/>
            </w:rPr>
            <w:t>三、建设目标</w:t>
          </w:r>
          <w:r>
            <w:tab/>
          </w:r>
          <w:r>
            <w:fldChar w:fldCharType="begin"/>
          </w:r>
          <w:r>
            <w:instrText xml:space="preserve"> PAGEREF _Toc13780 \h </w:instrText>
          </w:r>
          <w:r>
            <w:fldChar w:fldCharType="separate"/>
          </w:r>
          <w:r>
            <w:t>6</w:t>
          </w:r>
          <w:r>
            <w:fldChar w:fldCharType="end"/>
          </w:r>
          <w:r>
            <w:rPr>
              <w:bCs w:val="0"/>
              <w:lang w:val="zh-CN"/>
            </w:rPr>
            <w:fldChar w:fldCharType="end"/>
          </w:r>
        </w:p>
        <w:p w14:paraId="508E84D8">
          <w:pPr>
            <w:pStyle w:val="22"/>
            <w:tabs>
              <w:tab w:val="right" w:leader="dot" w:pos="8312"/>
            </w:tabs>
          </w:pPr>
          <w:r>
            <w:rPr>
              <w:bCs w:val="0"/>
              <w:lang w:val="zh-CN"/>
            </w:rPr>
            <w:fldChar w:fldCharType="begin"/>
          </w:r>
          <w:r>
            <w:rPr>
              <w:bCs w:val="0"/>
              <w:lang w:val="zh-CN"/>
            </w:rPr>
            <w:instrText xml:space="preserve"> HYPERLINK \l _Toc14977 </w:instrText>
          </w:r>
          <w:r>
            <w:rPr>
              <w:bCs w:val="0"/>
              <w:lang w:val="zh-CN"/>
            </w:rPr>
            <w:fldChar w:fldCharType="separate"/>
          </w:r>
          <w:r>
            <w:rPr>
              <w:rFonts w:hint="eastAsia"/>
              <w:szCs w:val="32"/>
            </w:rPr>
            <w:t>四</w:t>
          </w:r>
          <w:r>
            <w:rPr>
              <w:szCs w:val="32"/>
            </w:rPr>
            <w:t>、</w:t>
          </w:r>
          <w:r>
            <w:rPr>
              <w:rFonts w:hint="eastAsia"/>
              <w:szCs w:val="32"/>
            </w:rPr>
            <w:t>重点任务</w:t>
          </w:r>
          <w:r>
            <w:tab/>
          </w:r>
          <w:r>
            <w:fldChar w:fldCharType="begin"/>
          </w:r>
          <w:r>
            <w:instrText xml:space="preserve"> PAGEREF _Toc14977 \h </w:instrText>
          </w:r>
          <w:r>
            <w:fldChar w:fldCharType="separate"/>
          </w:r>
          <w:r>
            <w:t>6</w:t>
          </w:r>
          <w:r>
            <w:fldChar w:fldCharType="end"/>
          </w:r>
          <w:r>
            <w:rPr>
              <w:bCs w:val="0"/>
              <w:lang w:val="zh-CN"/>
            </w:rPr>
            <w:fldChar w:fldCharType="end"/>
          </w:r>
        </w:p>
        <w:p w14:paraId="476251F4">
          <w:pPr>
            <w:pStyle w:val="28"/>
            <w:tabs>
              <w:tab w:val="right" w:leader="dot" w:pos="8312"/>
            </w:tabs>
          </w:pPr>
          <w:r>
            <w:rPr>
              <w:bCs w:val="0"/>
              <w:lang w:val="zh-CN"/>
            </w:rPr>
            <w:fldChar w:fldCharType="begin"/>
          </w:r>
          <w:r>
            <w:rPr>
              <w:bCs w:val="0"/>
              <w:lang w:val="zh-CN"/>
            </w:rPr>
            <w:instrText xml:space="preserve"> HYPERLINK \l _Toc21908 </w:instrText>
          </w:r>
          <w:r>
            <w:rPr>
              <w:bCs w:val="0"/>
              <w:lang w:val="zh-CN"/>
            </w:rPr>
            <w:fldChar w:fldCharType="separate"/>
          </w:r>
          <w:r>
            <w:rPr>
              <w:rFonts w:hint="eastAsia" w:ascii="仿宋_GB2312" w:eastAsia="仿宋_GB2312"/>
            </w:rPr>
            <w:t>（一）强化工业固体废物源头减量和高效利用</w:t>
          </w:r>
          <w:r>
            <w:tab/>
          </w:r>
          <w:r>
            <w:fldChar w:fldCharType="begin"/>
          </w:r>
          <w:r>
            <w:instrText xml:space="preserve"> PAGEREF _Toc21908 \h </w:instrText>
          </w:r>
          <w:r>
            <w:fldChar w:fldCharType="separate"/>
          </w:r>
          <w:r>
            <w:t>7</w:t>
          </w:r>
          <w:r>
            <w:fldChar w:fldCharType="end"/>
          </w:r>
          <w:r>
            <w:rPr>
              <w:bCs w:val="0"/>
              <w:lang w:val="zh-CN"/>
            </w:rPr>
            <w:fldChar w:fldCharType="end"/>
          </w:r>
        </w:p>
        <w:p w14:paraId="6405A669">
          <w:pPr>
            <w:pStyle w:val="15"/>
            <w:tabs>
              <w:tab w:val="right" w:leader="dot" w:pos="8312"/>
              <w:tab w:val="clear" w:pos="8302"/>
            </w:tabs>
          </w:pPr>
          <w:r>
            <w:rPr>
              <w:bCs w:val="0"/>
              <w:lang w:val="zh-CN"/>
            </w:rPr>
            <w:fldChar w:fldCharType="begin"/>
          </w:r>
          <w:r>
            <w:rPr>
              <w:bCs w:val="0"/>
              <w:lang w:val="zh-CN"/>
            </w:rPr>
            <w:instrText xml:space="preserve"> HYPERLINK \l _Toc2873 </w:instrText>
          </w:r>
          <w:r>
            <w:rPr>
              <w:bCs w:val="0"/>
              <w:lang w:val="zh-CN"/>
            </w:rPr>
            <w:fldChar w:fldCharType="separate"/>
          </w:r>
          <w:r>
            <w:t>1.</w:t>
          </w:r>
          <w:r>
            <w:rPr>
              <w:rFonts w:hint="eastAsia"/>
            </w:rPr>
            <w:t>加快绿色发展，推动工业固体废物源头减量</w:t>
          </w:r>
          <w:r>
            <w:tab/>
          </w:r>
          <w:r>
            <w:fldChar w:fldCharType="begin"/>
          </w:r>
          <w:r>
            <w:instrText xml:space="preserve"> PAGEREF _Toc2873 \h </w:instrText>
          </w:r>
          <w:r>
            <w:fldChar w:fldCharType="separate"/>
          </w:r>
          <w:r>
            <w:t>7</w:t>
          </w:r>
          <w:r>
            <w:fldChar w:fldCharType="end"/>
          </w:r>
          <w:r>
            <w:rPr>
              <w:bCs w:val="0"/>
              <w:lang w:val="zh-CN"/>
            </w:rPr>
            <w:fldChar w:fldCharType="end"/>
          </w:r>
        </w:p>
        <w:p w14:paraId="267CAE50">
          <w:pPr>
            <w:pStyle w:val="15"/>
            <w:tabs>
              <w:tab w:val="right" w:leader="dot" w:pos="8312"/>
              <w:tab w:val="clear" w:pos="8302"/>
            </w:tabs>
          </w:pPr>
          <w:r>
            <w:rPr>
              <w:bCs w:val="0"/>
              <w:lang w:val="zh-CN"/>
            </w:rPr>
            <w:fldChar w:fldCharType="begin"/>
          </w:r>
          <w:r>
            <w:rPr>
              <w:bCs w:val="0"/>
              <w:lang w:val="zh-CN"/>
            </w:rPr>
            <w:instrText xml:space="preserve"> HYPERLINK \l _Toc3868 </w:instrText>
          </w:r>
          <w:r>
            <w:rPr>
              <w:bCs w:val="0"/>
              <w:lang w:val="zh-CN"/>
            </w:rPr>
            <w:fldChar w:fldCharType="separate"/>
          </w:r>
          <w:r>
            <w:t>2.</w:t>
          </w:r>
          <w:r>
            <w:rPr>
              <w:rFonts w:hint="eastAsia"/>
            </w:rPr>
            <w:t>聚焦关键种类，推动工业固体废物高效利用</w:t>
          </w:r>
          <w:r>
            <w:tab/>
          </w:r>
          <w:r>
            <w:fldChar w:fldCharType="begin"/>
          </w:r>
          <w:r>
            <w:instrText xml:space="preserve"> PAGEREF _Toc3868 \h </w:instrText>
          </w:r>
          <w:r>
            <w:fldChar w:fldCharType="separate"/>
          </w:r>
          <w:r>
            <w:t>7</w:t>
          </w:r>
          <w:r>
            <w:fldChar w:fldCharType="end"/>
          </w:r>
          <w:r>
            <w:rPr>
              <w:bCs w:val="0"/>
              <w:lang w:val="zh-CN"/>
            </w:rPr>
            <w:fldChar w:fldCharType="end"/>
          </w:r>
        </w:p>
        <w:p w14:paraId="352F2A0C">
          <w:pPr>
            <w:pStyle w:val="15"/>
            <w:tabs>
              <w:tab w:val="right" w:leader="dot" w:pos="8312"/>
              <w:tab w:val="clear" w:pos="8302"/>
            </w:tabs>
          </w:pPr>
          <w:r>
            <w:rPr>
              <w:bCs w:val="0"/>
              <w:lang w:val="zh-CN"/>
            </w:rPr>
            <w:fldChar w:fldCharType="begin"/>
          </w:r>
          <w:r>
            <w:rPr>
              <w:bCs w:val="0"/>
              <w:lang w:val="zh-CN"/>
            </w:rPr>
            <w:instrText xml:space="preserve"> HYPERLINK \l _Toc10416 </w:instrText>
          </w:r>
          <w:r>
            <w:rPr>
              <w:bCs w:val="0"/>
              <w:lang w:val="zh-CN"/>
            </w:rPr>
            <w:fldChar w:fldCharType="separate"/>
          </w:r>
          <w:r>
            <w:t>3.</w:t>
          </w:r>
          <w:r>
            <w:rPr>
              <w:rFonts w:hint="eastAsia"/>
            </w:rPr>
            <w:t>完善监管制度，提升工业固体废物管理水平</w:t>
          </w:r>
          <w:r>
            <w:tab/>
          </w:r>
          <w:r>
            <w:fldChar w:fldCharType="begin"/>
          </w:r>
          <w:r>
            <w:instrText xml:space="preserve"> PAGEREF _Toc10416 \h </w:instrText>
          </w:r>
          <w:r>
            <w:fldChar w:fldCharType="separate"/>
          </w:r>
          <w:r>
            <w:t>8</w:t>
          </w:r>
          <w:r>
            <w:fldChar w:fldCharType="end"/>
          </w:r>
          <w:r>
            <w:rPr>
              <w:bCs w:val="0"/>
              <w:lang w:val="zh-CN"/>
            </w:rPr>
            <w:fldChar w:fldCharType="end"/>
          </w:r>
        </w:p>
        <w:p w14:paraId="09AB57B7">
          <w:pPr>
            <w:pStyle w:val="28"/>
            <w:tabs>
              <w:tab w:val="right" w:leader="dot" w:pos="8312"/>
            </w:tabs>
          </w:pPr>
          <w:r>
            <w:rPr>
              <w:bCs w:val="0"/>
              <w:lang w:val="zh-CN"/>
            </w:rPr>
            <w:fldChar w:fldCharType="begin"/>
          </w:r>
          <w:r>
            <w:rPr>
              <w:bCs w:val="0"/>
              <w:lang w:val="zh-CN"/>
            </w:rPr>
            <w:instrText xml:space="preserve"> HYPERLINK \l _Toc28974 </w:instrText>
          </w:r>
          <w:r>
            <w:rPr>
              <w:bCs w:val="0"/>
              <w:lang w:val="zh-CN"/>
            </w:rPr>
            <w:fldChar w:fldCharType="separate"/>
          </w:r>
          <w:r>
            <w:rPr>
              <w:rFonts w:hint="eastAsia" w:ascii="仿宋_GB2312" w:eastAsia="仿宋_GB2312"/>
            </w:rPr>
            <w:t>（二）提升生活垃圾管理实效</w:t>
          </w:r>
          <w:r>
            <w:tab/>
          </w:r>
          <w:r>
            <w:fldChar w:fldCharType="begin"/>
          </w:r>
          <w:r>
            <w:instrText xml:space="preserve"> PAGEREF _Toc28974 \h </w:instrText>
          </w:r>
          <w:r>
            <w:fldChar w:fldCharType="separate"/>
          </w:r>
          <w:r>
            <w:t>10</w:t>
          </w:r>
          <w:r>
            <w:fldChar w:fldCharType="end"/>
          </w:r>
          <w:r>
            <w:rPr>
              <w:bCs w:val="0"/>
              <w:lang w:val="zh-CN"/>
            </w:rPr>
            <w:fldChar w:fldCharType="end"/>
          </w:r>
        </w:p>
        <w:p w14:paraId="0F48B2CD">
          <w:pPr>
            <w:pStyle w:val="15"/>
            <w:tabs>
              <w:tab w:val="right" w:leader="dot" w:pos="8312"/>
              <w:tab w:val="clear" w:pos="8302"/>
            </w:tabs>
          </w:pPr>
          <w:r>
            <w:rPr>
              <w:bCs w:val="0"/>
              <w:lang w:val="zh-CN"/>
            </w:rPr>
            <w:fldChar w:fldCharType="begin"/>
          </w:r>
          <w:r>
            <w:rPr>
              <w:bCs w:val="0"/>
              <w:lang w:val="zh-CN"/>
            </w:rPr>
            <w:instrText xml:space="preserve"> HYPERLINK \l _Toc2356 </w:instrText>
          </w:r>
          <w:r>
            <w:rPr>
              <w:bCs w:val="0"/>
              <w:lang w:val="zh-CN"/>
            </w:rPr>
            <w:fldChar w:fldCharType="separate"/>
          </w:r>
          <w:r>
            <w:t>1.</w:t>
          </w:r>
          <w:r>
            <w:rPr>
              <w:rFonts w:hint="eastAsia"/>
            </w:rPr>
            <w:t>推广绿色生活方式，促进生活源固体废物源头减量</w:t>
          </w:r>
          <w:r>
            <w:tab/>
          </w:r>
          <w:r>
            <w:fldChar w:fldCharType="begin"/>
          </w:r>
          <w:r>
            <w:instrText xml:space="preserve"> PAGEREF _Toc2356 \h </w:instrText>
          </w:r>
          <w:r>
            <w:fldChar w:fldCharType="separate"/>
          </w:r>
          <w:r>
            <w:t>10</w:t>
          </w:r>
          <w:r>
            <w:fldChar w:fldCharType="end"/>
          </w:r>
          <w:r>
            <w:rPr>
              <w:bCs w:val="0"/>
              <w:lang w:val="zh-CN"/>
            </w:rPr>
            <w:fldChar w:fldCharType="end"/>
          </w:r>
        </w:p>
        <w:p w14:paraId="763274C1">
          <w:pPr>
            <w:pStyle w:val="15"/>
            <w:tabs>
              <w:tab w:val="right" w:leader="dot" w:pos="8312"/>
              <w:tab w:val="clear" w:pos="8302"/>
            </w:tabs>
          </w:pPr>
          <w:r>
            <w:rPr>
              <w:bCs w:val="0"/>
              <w:lang w:val="zh-CN"/>
            </w:rPr>
            <w:fldChar w:fldCharType="begin"/>
          </w:r>
          <w:r>
            <w:rPr>
              <w:bCs w:val="0"/>
              <w:lang w:val="zh-CN"/>
            </w:rPr>
            <w:instrText xml:space="preserve"> HYPERLINK \l _Toc6418 </w:instrText>
          </w:r>
          <w:r>
            <w:rPr>
              <w:bCs w:val="0"/>
              <w:lang w:val="zh-CN"/>
            </w:rPr>
            <w:fldChar w:fldCharType="separate"/>
          </w:r>
          <w:r>
            <w:t>2.</w:t>
          </w:r>
          <w:r>
            <w:rPr>
              <w:rFonts w:hint="eastAsia"/>
            </w:rPr>
            <w:t>构建便民分类体系，完善生活垃圾分类收运系统</w:t>
          </w:r>
          <w:r>
            <w:tab/>
          </w:r>
          <w:r>
            <w:fldChar w:fldCharType="begin"/>
          </w:r>
          <w:r>
            <w:instrText xml:space="preserve"> PAGEREF _Toc6418 \h </w:instrText>
          </w:r>
          <w:r>
            <w:fldChar w:fldCharType="separate"/>
          </w:r>
          <w:r>
            <w:t>11</w:t>
          </w:r>
          <w:r>
            <w:fldChar w:fldCharType="end"/>
          </w:r>
          <w:r>
            <w:rPr>
              <w:bCs w:val="0"/>
              <w:lang w:val="zh-CN"/>
            </w:rPr>
            <w:fldChar w:fldCharType="end"/>
          </w:r>
        </w:p>
        <w:p w14:paraId="2806B257">
          <w:pPr>
            <w:pStyle w:val="15"/>
            <w:tabs>
              <w:tab w:val="right" w:leader="dot" w:pos="8312"/>
              <w:tab w:val="clear" w:pos="8302"/>
            </w:tabs>
          </w:pPr>
          <w:r>
            <w:rPr>
              <w:bCs w:val="0"/>
              <w:lang w:val="zh-CN"/>
            </w:rPr>
            <w:fldChar w:fldCharType="begin"/>
          </w:r>
          <w:r>
            <w:rPr>
              <w:bCs w:val="0"/>
              <w:lang w:val="zh-CN"/>
            </w:rPr>
            <w:instrText xml:space="preserve"> HYPERLINK \l _Toc7258 </w:instrText>
          </w:r>
          <w:r>
            <w:rPr>
              <w:bCs w:val="0"/>
              <w:lang w:val="zh-CN"/>
            </w:rPr>
            <w:fldChar w:fldCharType="separate"/>
          </w:r>
          <w:r>
            <w:t xml:space="preserve">3. </w:t>
          </w:r>
          <w:r>
            <w:rPr>
              <w:rFonts w:hint="eastAsia"/>
            </w:rPr>
            <w:t>加强固废多源协同，提高再生资源利用水平和集中处理能力</w:t>
          </w:r>
          <w:r>
            <w:tab/>
          </w:r>
          <w:r>
            <w:fldChar w:fldCharType="begin"/>
          </w:r>
          <w:r>
            <w:instrText xml:space="preserve"> PAGEREF _Toc7258 \h </w:instrText>
          </w:r>
          <w:r>
            <w:fldChar w:fldCharType="separate"/>
          </w:r>
          <w:r>
            <w:t>12</w:t>
          </w:r>
          <w:r>
            <w:fldChar w:fldCharType="end"/>
          </w:r>
          <w:r>
            <w:rPr>
              <w:bCs w:val="0"/>
              <w:lang w:val="zh-CN"/>
            </w:rPr>
            <w:fldChar w:fldCharType="end"/>
          </w:r>
        </w:p>
        <w:p w14:paraId="66A3851B">
          <w:pPr>
            <w:pStyle w:val="28"/>
            <w:tabs>
              <w:tab w:val="right" w:leader="dot" w:pos="8312"/>
            </w:tabs>
          </w:pPr>
          <w:r>
            <w:rPr>
              <w:bCs w:val="0"/>
              <w:lang w:val="zh-CN"/>
            </w:rPr>
            <w:fldChar w:fldCharType="begin"/>
          </w:r>
          <w:r>
            <w:rPr>
              <w:bCs w:val="0"/>
              <w:lang w:val="zh-CN"/>
            </w:rPr>
            <w:instrText xml:space="preserve"> HYPERLINK \l _Toc2505 </w:instrText>
          </w:r>
          <w:r>
            <w:rPr>
              <w:bCs w:val="0"/>
              <w:lang w:val="zh-CN"/>
            </w:rPr>
            <w:fldChar w:fldCharType="separate"/>
          </w:r>
          <w:r>
            <w:rPr>
              <w:rFonts w:hint="eastAsia" w:ascii="仿宋_GB2312" w:eastAsia="仿宋_GB2312"/>
            </w:rPr>
            <w:t>（三）强化建筑垃圾全过程治理</w:t>
          </w:r>
          <w:r>
            <w:tab/>
          </w:r>
          <w:r>
            <w:fldChar w:fldCharType="begin"/>
          </w:r>
          <w:r>
            <w:instrText xml:space="preserve"> PAGEREF _Toc2505 \h </w:instrText>
          </w:r>
          <w:r>
            <w:fldChar w:fldCharType="separate"/>
          </w:r>
          <w:r>
            <w:t>14</w:t>
          </w:r>
          <w:r>
            <w:fldChar w:fldCharType="end"/>
          </w:r>
          <w:r>
            <w:rPr>
              <w:bCs w:val="0"/>
              <w:lang w:val="zh-CN"/>
            </w:rPr>
            <w:fldChar w:fldCharType="end"/>
          </w:r>
        </w:p>
        <w:p w14:paraId="36D47098">
          <w:pPr>
            <w:pStyle w:val="15"/>
            <w:tabs>
              <w:tab w:val="right" w:leader="dot" w:pos="8312"/>
              <w:tab w:val="clear" w:pos="8302"/>
            </w:tabs>
          </w:pPr>
          <w:r>
            <w:rPr>
              <w:bCs w:val="0"/>
              <w:lang w:val="zh-CN"/>
            </w:rPr>
            <w:fldChar w:fldCharType="begin"/>
          </w:r>
          <w:r>
            <w:rPr>
              <w:bCs w:val="0"/>
              <w:lang w:val="zh-CN"/>
            </w:rPr>
            <w:instrText xml:space="preserve"> HYPERLINK \l _Toc27608 </w:instrText>
          </w:r>
          <w:r>
            <w:rPr>
              <w:bCs w:val="0"/>
              <w:lang w:val="zh-CN"/>
            </w:rPr>
            <w:fldChar w:fldCharType="separate"/>
          </w:r>
          <w:r>
            <w:t>1.</w:t>
          </w:r>
          <w:r>
            <w:rPr>
              <w:rFonts w:hint="eastAsia"/>
            </w:rPr>
            <w:t>落实主体责任，推动建筑业绿色低碳发展</w:t>
          </w:r>
          <w:r>
            <w:tab/>
          </w:r>
          <w:r>
            <w:fldChar w:fldCharType="begin"/>
          </w:r>
          <w:r>
            <w:instrText xml:space="preserve"> PAGEREF _Toc27608 \h </w:instrText>
          </w:r>
          <w:r>
            <w:fldChar w:fldCharType="separate"/>
          </w:r>
          <w:r>
            <w:t>14</w:t>
          </w:r>
          <w:r>
            <w:fldChar w:fldCharType="end"/>
          </w:r>
          <w:r>
            <w:rPr>
              <w:bCs w:val="0"/>
              <w:lang w:val="zh-CN"/>
            </w:rPr>
            <w:fldChar w:fldCharType="end"/>
          </w:r>
        </w:p>
        <w:p w14:paraId="2C7C8E76">
          <w:pPr>
            <w:pStyle w:val="15"/>
            <w:tabs>
              <w:tab w:val="right" w:leader="dot" w:pos="8312"/>
              <w:tab w:val="clear" w:pos="8302"/>
            </w:tabs>
          </w:pPr>
          <w:r>
            <w:rPr>
              <w:bCs w:val="0"/>
              <w:lang w:val="zh-CN"/>
            </w:rPr>
            <w:fldChar w:fldCharType="begin"/>
          </w:r>
          <w:r>
            <w:rPr>
              <w:bCs w:val="0"/>
              <w:lang w:val="zh-CN"/>
            </w:rPr>
            <w:instrText xml:space="preserve"> HYPERLINK \l _Toc22020 </w:instrText>
          </w:r>
          <w:r>
            <w:rPr>
              <w:bCs w:val="0"/>
              <w:lang w:val="zh-CN"/>
            </w:rPr>
            <w:fldChar w:fldCharType="separate"/>
          </w:r>
          <w:r>
            <w:t>2.</w:t>
          </w:r>
          <w:r>
            <w:rPr>
              <w:rFonts w:hint="eastAsia"/>
            </w:rPr>
            <w:t>加强设施建设，提高建筑垃圾综合利用水平</w:t>
          </w:r>
          <w:r>
            <w:tab/>
          </w:r>
          <w:r>
            <w:fldChar w:fldCharType="begin"/>
          </w:r>
          <w:r>
            <w:instrText xml:space="preserve"> PAGEREF _Toc22020 \h </w:instrText>
          </w:r>
          <w:r>
            <w:fldChar w:fldCharType="separate"/>
          </w:r>
          <w:r>
            <w:t>14</w:t>
          </w:r>
          <w:r>
            <w:fldChar w:fldCharType="end"/>
          </w:r>
          <w:r>
            <w:rPr>
              <w:bCs w:val="0"/>
              <w:lang w:val="zh-CN"/>
            </w:rPr>
            <w:fldChar w:fldCharType="end"/>
          </w:r>
        </w:p>
        <w:p w14:paraId="1798BB0F">
          <w:pPr>
            <w:pStyle w:val="15"/>
            <w:tabs>
              <w:tab w:val="right" w:leader="dot" w:pos="8312"/>
              <w:tab w:val="clear" w:pos="8302"/>
            </w:tabs>
          </w:pPr>
          <w:r>
            <w:rPr>
              <w:bCs w:val="0"/>
              <w:lang w:val="zh-CN"/>
            </w:rPr>
            <w:fldChar w:fldCharType="begin"/>
          </w:r>
          <w:r>
            <w:rPr>
              <w:bCs w:val="0"/>
              <w:lang w:val="zh-CN"/>
            </w:rPr>
            <w:instrText xml:space="preserve"> HYPERLINK \l _Toc30759 </w:instrText>
          </w:r>
          <w:r>
            <w:rPr>
              <w:bCs w:val="0"/>
              <w:lang w:val="zh-CN"/>
            </w:rPr>
            <w:fldChar w:fldCharType="separate"/>
          </w:r>
          <w:r>
            <w:t>3.</w:t>
          </w:r>
          <w:r>
            <w:rPr>
              <w:rFonts w:hint="eastAsia"/>
            </w:rPr>
            <w:t>完善监管体系，推进建筑垃圾全过程闭环管理</w:t>
          </w:r>
          <w:r>
            <w:tab/>
          </w:r>
          <w:r>
            <w:fldChar w:fldCharType="begin"/>
          </w:r>
          <w:r>
            <w:instrText xml:space="preserve"> PAGEREF _Toc30759 \h </w:instrText>
          </w:r>
          <w:r>
            <w:fldChar w:fldCharType="separate"/>
          </w:r>
          <w:r>
            <w:t>15</w:t>
          </w:r>
          <w:r>
            <w:fldChar w:fldCharType="end"/>
          </w:r>
          <w:r>
            <w:rPr>
              <w:bCs w:val="0"/>
              <w:lang w:val="zh-CN"/>
            </w:rPr>
            <w:fldChar w:fldCharType="end"/>
          </w:r>
        </w:p>
        <w:p w14:paraId="63CA39A2">
          <w:pPr>
            <w:pStyle w:val="28"/>
            <w:tabs>
              <w:tab w:val="right" w:leader="dot" w:pos="8312"/>
            </w:tabs>
          </w:pPr>
          <w:r>
            <w:rPr>
              <w:bCs w:val="0"/>
              <w:lang w:val="zh-CN"/>
            </w:rPr>
            <w:fldChar w:fldCharType="begin"/>
          </w:r>
          <w:r>
            <w:rPr>
              <w:bCs w:val="0"/>
              <w:lang w:val="zh-CN"/>
            </w:rPr>
            <w:instrText xml:space="preserve"> HYPERLINK \l _Toc31419 </w:instrText>
          </w:r>
          <w:r>
            <w:rPr>
              <w:bCs w:val="0"/>
              <w:lang w:val="zh-CN"/>
            </w:rPr>
            <w:fldChar w:fldCharType="separate"/>
          </w:r>
          <w:r>
            <w:rPr>
              <w:rFonts w:hint="eastAsia" w:ascii="仿宋_GB2312" w:eastAsia="仿宋_GB2312"/>
            </w:rPr>
            <w:t>（四）严密防控危险废物环境风险</w:t>
          </w:r>
          <w:r>
            <w:tab/>
          </w:r>
          <w:r>
            <w:fldChar w:fldCharType="begin"/>
          </w:r>
          <w:r>
            <w:instrText xml:space="preserve"> PAGEREF _Toc31419 \h </w:instrText>
          </w:r>
          <w:r>
            <w:fldChar w:fldCharType="separate"/>
          </w:r>
          <w:r>
            <w:t>17</w:t>
          </w:r>
          <w:r>
            <w:fldChar w:fldCharType="end"/>
          </w:r>
          <w:r>
            <w:rPr>
              <w:bCs w:val="0"/>
              <w:lang w:val="zh-CN"/>
            </w:rPr>
            <w:fldChar w:fldCharType="end"/>
          </w:r>
        </w:p>
        <w:p w14:paraId="0A2C0526">
          <w:pPr>
            <w:pStyle w:val="15"/>
            <w:tabs>
              <w:tab w:val="right" w:leader="dot" w:pos="8312"/>
              <w:tab w:val="clear" w:pos="8302"/>
            </w:tabs>
          </w:pPr>
          <w:r>
            <w:rPr>
              <w:bCs w:val="0"/>
              <w:lang w:val="zh-CN"/>
            </w:rPr>
            <w:fldChar w:fldCharType="begin"/>
          </w:r>
          <w:r>
            <w:rPr>
              <w:bCs w:val="0"/>
              <w:lang w:val="zh-CN"/>
            </w:rPr>
            <w:instrText xml:space="preserve"> HYPERLINK \l _Toc22324 </w:instrText>
          </w:r>
          <w:r>
            <w:rPr>
              <w:bCs w:val="0"/>
              <w:lang w:val="zh-CN"/>
            </w:rPr>
            <w:fldChar w:fldCharType="separate"/>
          </w:r>
          <w:r>
            <w:t>1.</w:t>
          </w:r>
          <w:r>
            <w:rPr>
              <w:rFonts w:hint="eastAsia"/>
            </w:rPr>
            <w:t>加强过程管理，提升精细管理水平</w:t>
          </w:r>
          <w:r>
            <w:tab/>
          </w:r>
          <w:r>
            <w:fldChar w:fldCharType="begin"/>
          </w:r>
          <w:r>
            <w:instrText xml:space="preserve"> PAGEREF _Toc22324 \h </w:instrText>
          </w:r>
          <w:r>
            <w:fldChar w:fldCharType="separate"/>
          </w:r>
          <w:r>
            <w:t>17</w:t>
          </w:r>
          <w:r>
            <w:fldChar w:fldCharType="end"/>
          </w:r>
          <w:r>
            <w:rPr>
              <w:bCs w:val="0"/>
              <w:lang w:val="zh-CN"/>
            </w:rPr>
            <w:fldChar w:fldCharType="end"/>
          </w:r>
        </w:p>
        <w:p w14:paraId="1FC3D24B">
          <w:pPr>
            <w:pStyle w:val="15"/>
            <w:tabs>
              <w:tab w:val="right" w:leader="dot" w:pos="8312"/>
              <w:tab w:val="clear" w:pos="8302"/>
            </w:tabs>
          </w:pPr>
          <w:r>
            <w:rPr>
              <w:bCs w:val="0"/>
              <w:lang w:val="zh-CN"/>
            </w:rPr>
            <w:fldChar w:fldCharType="begin"/>
          </w:r>
          <w:r>
            <w:rPr>
              <w:bCs w:val="0"/>
              <w:lang w:val="zh-CN"/>
            </w:rPr>
            <w:instrText xml:space="preserve"> HYPERLINK \l _Toc30617 </w:instrText>
          </w:r>
          <w:r>
            <w:rPr>
              <w:bCs w:val="0"/>
              <w:lang w:val="zh-CN"/>
            </w:rPr>
            <w:fldChar w:fldCharType="separate"/>
          </w:r>
          <w:r>
            <w:rPr>
              <w:bCs w:val="0"/>
            </w:rPr>
            <w:t>2.</w:t>
          </w:r>
          <w:r>
            <w:rPr>
              <w:rFonts w:hint="eastAsia"/>
              <w:bCs w:val="0"/>
            </w:rPr>
            <w:t>强化末端治理，提升利用处置能力</w:t>
          </w:r>
          <w:r>
            <w:tab/>
          </w:r>
          <w:r>
            <w:fldChar w:fldCharType="begin"/>
          </w:r>
          <w:r>
            <w:instrText xml:space="preserve"> PAGEREF _Toc30617 \h </w:instrText>
          </w:r>
          <w:r>
            <w:fldChar w:fldCharType="separate"/>
          </w:r>
          <w:r>
            <w:t>17</w:t>
          </w:r>
          <w:r>
            <w:fldChar w:fldCharType="end"/>
          </w:r>
          <w:r>
            <w:rPr>
              <w:bCs w:val="0"/>
              <w:lang w:val="zh-CN"/>
            </w:rPr>
            <w:fldChar w:fldCharType="end"/>
          </w:r>
        </w:p>
        <w:p w14:paraId="235E4350">
          <w:pPr>
            <w:pStyle w:val="15"/>
            <w:tabs>
              <w:tab w:val="right" w:leader="dot" w:pos="8312"/>
              <w:tab w:val="clear" w:pos="8302"/>
            </w:tabs>
          </w:pPr>
          <w:r>
            <w:rPr>
              <w:bCs w:val="0"/>
              <w:lang w:val="zh-CN"/>
            </w:rPr>
            <w:fldChar w:fldCharType="begin"/>
          </w:r>
          <w:r>
            <w:rPr>
              <w:bCs w:val="0"/>
              <w:lang w:val="zh-CN"/>
            </w:rPr>
            <w:instrText xml:space="preserve"> HYPERLINK \l _Toc3502 </w:instrText>
          </w:r>
          <w:r>
            <w:rPr>
              <w:bCs w:val="0"/>
              <w:lang w:val="zh-CN"/>
            </w:rPr>
            <w:fldChar w:fldCharType="separate"/>
          </w:r>
          <w:r>
            <w:rPr>
              <w:bCs w:val="0"/>
            </w:rPr>
            <w:t>3.</w:t>
          </w:r>
          <w:r>
            <w:rPr>
              <w:rFonts w:hint="eastAsia"/>
              <w:bCs w:val="0"/>
            </w:rPr>
            <w:t>完善机制体系，提升风险防控能力</w:t>
          </w:r>
          <w:r>
            <w:tab/>
          </w:r>
          <w:r>
            <w:fldChar w:fldCharType="begin"/>
          </w:r>
          <w:r>
            <w:instrText xml:space="preserve"> PAGEREF _Toc3502 \h </w:instrText>
          </w:r>
          <w:r>
            <w:fldChar w:fldCharType="separate"/>
          </w:r>
          <w:r>
            <w:t>18</w:t>
          </w:r>
          <w:r>
            <w:fldChar w:fldCharType="end"/>
          </w:r>
          <w:r>
            <w:rPr>
              <w:bCs w:val="0"/>
              <w:lang w:val="zh-CN"/>
            </w:rPr>
            <w:fldChar w:fldCharType="end"/>
          </w:r>
        </w:p>
        <w:p w14:paraId="5712264D">
          <w:pPr>
            <w:pStyle w:val="28"/>
            <w:tabs>
              <w:tab w:val="right" w:leader="dot" w:pos="8312"/>
            </w:tabs>
          </w:pPr>
          <w:r>
            <w:rPr>
              <w:bCs w:val="0"/>
              <w:lang w:val="zh-CN"/>
            </w:rPr>
            <w:fldChar w:fldCharType="begin"/>
          </w:r>
          <w:r>
            <w:rPr>
              <w:bCs w:val="0"/>
              <w:lang w:val="zh-CN"/>
            </w:rPr>
            <w:instrText xml:space="preserve"> HYPERLINK \l _Toc23441 </w:instrText>
          </w:r>
          <w:r>
            <w:rPr>
              <w:bCs w:val="0"/>
              <w:lang w:val="zh-CN"/>
            </w:rPr>
            <w:fldChar w:fldCharType="separate"/>
          </w:r>
          <w:r>
            <w:rPr>
              <w:rFonts w:hint="eastAsia" w:ascii="仿宋_GB2312" w:eastAsia="仿宋_GB2312"/>
            </w:rPr>
            <w:t>（五）加强农林固废和污泥高效利用</w:t>
          </w:r>
          <w:r>
            <w:tab/>
          </w:r>
          <w:r>
            <w:fldChar w:fldCharType="begin"/>
          </w:r>
          <w:r>
            <w:instrText xml:space="preserve"> PAGEREF _Toc23441 \h </w:instrText>
          </w:r>
          <w:r>
            <w:fldChar w:fldCharType="separate"/>
          </w:r>
          <w:r>
            <w:t>20</w:t>
          </w:r>
          <w:r>
            <w:fldChar w:fldCharType="end"/>
          </w:r>
          <w:r>
            <w:rPr>
              <w:bCs w:val="0"/>
              <w:lang w:val="zh-CN"/>
            </w:rPr>
            <w:fldChar w:fldCharType="end"/>
          </w:r>
        </w:p>
        <w:p w14:paraId="2C5E79BE">
          <w:pPr>
            <w:pStyle w:val="15"/>
            <w:tabs>
              <w:tab w:val="right" w:leader="dot" w:pos="8312"/>
              <w:tab w:val="clear" w:pos="8302"/>
            </w:tabs>
          </w:pPr>
          <w:r>
            <w:rPr>
              <w:bCs w:val="0"/>
              <w:lang w:val="zh-CN"/>
            </w:rPr>
            <w:fldChar w:fldCharType="begin"/>
          </w:r>
          <w:r>
            <w:rPr>
              <w:bCs w:val="0"/>
              <w:lang w:val="zh-CN"/>
            </w:rPr>
            <w:instrText xml:space="preserve"> HYPERLINK \l _Toc8116 </w:instrText>
          </w:r>
          <w:r>
            <w:rPr>
              <w:bCs w:val="0"/>
              <w:lang w:val="zh-CN"/>
            </w:rPr>
            <w:fldChar w:fldCharType="separate"/>
          </w:r>
          <w:r>
            <w:t>1.</w:t>
          </w:r>
          <w:r>
            <w:rPr>
              <w:rFonts w:hint="eastAsia"/>
            </w:rPr>
            <w:t>加强技术推广，强化秸秆还田和综合利用</w:t>
          </w:r>
          <w:r>
            <w:tab/>
          </w:r>
          <w:r>
            <w:fldChar w:fldCharType="begin"/>
          </w:r>
          <w:r>
            <w:instrText xml:space="preserve"> PAGEREF _Toc8116 \h </w:instrText>
          </w:r>
          <w:r>
            <w:fldChar w:fldCharType="separate"/>
          </w:r>
          <w:r>
            <w:t>20</w:t>
          </w:r>
          <w:r>
            <w:fldChar w:fldCharType="end"/>
          </w:r>
          <w:r>
            <w:rPr>
              <w:bCs w:val="0"/>
              <w:lang w:val="zh-CN"/>
            </w:rPr>
            <w:fldChar w:fldCharType="end"/>
          </w:r>
        </w:p>
        <w:p w14:paraId="25668AA3">
          <w:pPr>
            <w:pStyle w:val="15"/>
            <w:tabs>
              <w:tab w:val="right" w:leader="dot" w:pos="8312"/>
              <w:tab w:val="clear" w:pos="8302"/>
            </w:tabs>
          </w:pPr>
          <w:r>
            <w:rPr>
              <w:bCs w:val="0"/>
              <w:lang w:val="zh-CN"/>
            </w:rPr>
            <w:fldChar w:fldCharType="begin"/>
          </w:r>
          <w:r>
            <w:rPr>
              <w:bCs w:val="0"/>
              <w:lang w:val="zh-CN"/>
            </w:rPr>
            <w:instrText xml:space="preserve"> HYPERLINK \l _Toc28506 </w:instrText>
          </w:r>
          <w:r>
            <w:rPr>
              <w:bCs w:val="0"/>
              <w:lang w:val="zh-CN"/>
            </w:rPr>
            <w:fldChar w:fldCharType="separate"/>
          </w:r>
          <w:r>
            <w:t>2.</w:t>
          </w:r>
          <w:r>
            <w:rPr>
              <w:rFonts w:hint="eastAsia"/>
            </w:rPr>
            <w:t>落实主体责任，促进农林固废回收利用</w:t>
          </w:r>
          <w:r>
            <w:tab/>
          </w:r>
          <w:r>
            <w:fldChar w:fldCharType="begin"/>
          </w:r>
          <w:r>
            <w:instrText xml:space="preserve"> PAGEREF _Toc28506 \h </w:instrText>
          </w:r>
          <w:r>
            <w:fldChar w:fldCharType="separate"/>
          </w:r>
          <w:r>
            <w:t>20</w:t>
          </w:r>
          <w:r>
            <w:fldChar w:fldCharType="end"/>
          </w:r>
          <w:r>
            <w:rPr>
              <w:bCs w:val="0"/>
              <w:lang w:val="zh-CN"/>
            </w:rPr>
            <w:fldChar w:fldCharType="end"/>
          </w:r>
        </w:p>
        <w:p w14:paraId="57D59693">
          <w:pPr>
            <w:pStyle w:val="15"/>
            <w:tabs>
              <w:tab w:val="right" w:leader="dot" w:pos="8312"/>
              <w:tab w:val="clear" w:pos="8302"/>
            </w:tabs>
          </w:pPr>
          <w:r>
            <w:rPr>
              <w:bCs w:val="0"/>
              <w:lang w:val="zh-CN"/>
            </w:rPr>
            <w:fldChar w:fldCharType="begin"/>
          </w:r>
          <w:r>
            <w:rPr>
              <w:bCs w:val="0"/>
              <w:lang w:val="zh-CN"/>
            </w:rPr>
            <w:instrText xml:space="preserve"> HYPERLINK \l _Toc31721 </w:instrText>
          </w:r>
          <w:r>
            <w:rPr>
              <w:bCs w:val="0"/>
              <w:lang w:val="zh-CN"/>
            </w:rPr>
            <w:fldChar w:fldCharType="separate"/>
          </w:r>
          <w:r>
            <w:rPr>
              <w:bCs w:val="0"/>
            </w:rPr>
            <w:t>3.</w:t>
          </w:r>
          <w:r>
            <w:rPr>
              <w:rFonts w:hint="eastAsia"/>
              <w:bCs w:val="0"/>
            </w:rPr>
            <w:t>探索利用途径，推动污泥高效利用</w:t>
          </w:r>
          <w:r>
            <w:tab/>
          </w:r>
          <w:r>
            <w:fldChar w:fldCharType="begin"/>
          </w:r>
          <w:r>
            <w:instrText xml:space="preserve"> PAGEREF _Toc31721 \h </w:instrText>
          </w:r>
          <w:r>
            <w:fldChar w:fldCharType="separate"/>
          </w:r>
          <w:r>
            <w:t>21</w:t>
          </w:r>
          <w:r>
            <w:fldChar w:fldCharType="end"/>
          </w:r>
          <w:r>
            <w:rPr>
              <w:bCs w:val="0"/>
              <w:lang w:val="zh-CN"/>
            </w:rPr>
            <w:fldChar w:fldCharType="end"/>
          </w:r>
        </w:p>
        <w:p w14:paraId="08F32DEB">
          <w:pPr>
            <w:pStyle w:val="28"/>
            <w:tabs>
              <w:tab w:val="right" w:leader="dot" w:pos="8312"/>
            </w:tabs>
          </w:pPr>
          <w:r>
            <w:rPr>
              <w:bCs w:val="0"/>
              <w:lang w:val="zh-CN"/>
            </w:rPr>
            <w:fldChar w:fldCharType="begin"/>
          </w:r>
          <w:r>
            <w:rPr>
              <w:bCs w:val="0"/>
              <w:lang w:val="zh-CN"/>
            </w:rPr>
            <w:instrText xml:space="preserve"> HYPERLINK \l _Toc13485 </w:instrText>
          </w:r>
          <w:r>
            <w:rPr>
              <w:bCs w:val="0"/>
              <w:lang w:val="zh-CN"/>
            </w:rPr>
            <w:fldChar w:fldCharType="separate"/>
          </w:r>
          <w:r>
            <w:rPr>
              <w:rFonts w:hint="eastAsia" w:ascii="仿宋_GB2312" w:eastAsia="仿宋_GB2312"/>
            </w:rPr>
            <w:t>（六）打造朝阳区“无废城市”建设“1+</w:t>
          </w:r>
          <w:r>
            <w:rPr>
              <w:rFonts w:ascii="仿宋_GB2312" w:eastAsia="仿宋_GB2312"/>
            </w:rPr>
            <w:t>N</w:t>
          </w:r>
          <w:r>
            <w:rPr>
              <w:rFonts w:hint="eastAsia" w:ascii="仿宋_GB2312" w:eastAsia="仿宋_GB2312"/>
            </w:rPr>
            <w:t>”特色模式</w:t>
          </w:r>
          <w:r>
            <w:tab/>
          </w:r>
          <w:r>
            <w:fldChar w:fldCharType="begin"/>
          </w:r>
          <w:r>
            <w:instrText xml:space="preserve"> PAGEREF _Toc13485 \h </w:instrText>
          </w:r>
          <w:r>
            <w:fldChar w:fldCharType="separate"/>
          </w:r>
          <w:r>
            <w:t>22</w:t>
          </w:r>
          <w:r>
            <w:fldChar w:fldCharType="end"/>
          </w:r>
          <w:r>
            <w:rPr>
              <w:bCs w:val="0"/>
              <w:lang w:val="zh-CN"/>
            </w:rPr>
            <w:fldChar w:fldCharType="end"/>
          </w:r>
        </w:p>
        <w:p w14:paraId="7B9F9E23">
          <w:pPr>
            <w:pStyle w:val="15"/>
            <w:tabs>
              <w:tab w:val="right" w:leader="dot" w:pos="8312"/>
              <w:tab w:val="clear" w:pos="8302"/>
            </w:tabs>
          </w:pPr>
          <w:r>
            <w:rPr>
              <w:bCs w:val="0"/>
              <w:lang w:val="zh-CN"/>
            </w:rPr>
            <w:fldChar w:fldCharType="begin"/>
          </w:r>
          <w:r>
            <w:rPr>
              <w:bCs w:val="0"/>
              <w:lang w:val="zh-CN"/>
            </w:rPr>
            <w:instrText xml:space="preserve"> HYPERLINK \l _Toc15419 </w:instrText>
          </w:r>
          <w:r>
            <w:rPr>
              <w:bCs w:val="0"/>
              <w:lang w:val="zh-CN"/>
            </w:rPr>
            <w:fldChar w:fldCharType="separate"/>
          </w:r>
          <w:r>
            <w:t>1.</w:t>
          </w:r>
          <w:r>
            <w:rPr>
              <w:rFonts w:hint="eastAsia"/>
            </w:rPr>
            <w:t>探索一区一园“无废城市”建设新模式</w:t>
          </w:r>
          <w:r>
            <w:tab/>
          </w:r>
          <w:r>
            <w:fldChar w:fldCharType="begin"/>
          </w:r>
          <w:r>
            <w:instrText xml:space="preserve"> PAGEREF _Toc15419 \h </w:instrText>
          </w:r>
          <w:r>
            <w:fldChar w:fldCharType="separate"/>
          </w:r>
          <w:r>
            <w:t>22</w:t>
          </w:r>
          <w:r>
            <w:fldChar w:fldCharType="end"/>
          </w:r>
          <w:r>
            <w:rPr>
              <w:bCs w:val="0"/>
              <w:lang w:val="zh-CN"/>
            </w:rPr>
            <w:fldChar w:fldCharType="end"/>
          </w:r>
        </w:p>
        <w:p w14:paraId="2CB82C44">
          <w:pPr>
            <w:pStyle w:val="15"/>
            <w:tabs>
              <w:tab w:val="right" w:leader="dot" w:pos="8312"/>
              <w:tab w:val="clear" w:pos="8302"/>
            </w:tabs>
          </w:pPr>
          <w:r>
            <w:rPr>
              <w:bCs w:val="0"/>
              <w:lang w:val="zh-CN"/>
            </w:rPr>
            <w:fldChar w:fldCharType="begin"/>
          </w:r>
          <w:r>
            <w:rPr>
              <w:bCs w:val="0"/>
              <w:lang w:val="zh-CN"/>
            </w:rPr>
            <w:instrText xml:space="preserve"> HYPERLINK \l _Toc26736 </w:instrText>
          </w:r>
          <w:r>
            <w:rPr>
              <w:bCs w:val="0"/>
              <w:lang w:val="zh-CN"/>
            </w:rPr>
            <w:fldChar w:fldCharType="separate"/>
          </w:r>
          <w:r>
            <w:t>2.</w:t>
          </w:r>
          <w:r>
            <w:rPr>
              <w:rFonts w:hint="eastAsia"/>
            </w:rPr>
            <w:t>培育“无废城市细胞”精品工程</w:t>
          </w:r>
          <w:r>
            <w:tab/>
          </w:r>
          <w:r>
            <w:fldChar w:fldCharType="begin"/>
          </w:r>
          <w:r>
            <w:instrText xml:space="preserve"> PAGEREF _Toc26736 \h </w:instrText>
          </w:r>
          <w:r>
            <w:fldChar w:fldCharType="separate"/>
          </w:r>
          <w:r>
            <w:t>23</w:t>
          </w:r>
          <w:r>
            <w:fldChar w:fldCharType="end"/>
          </w:r>
          <w:r>
            <w:rPr>
              <w:bCs w:val="0"/>
              <w:lang w:val="zh-CN"/>
            </w:rPr>
            <w:fldChar w:fldCharType="end"/>
          </w:r>
        </w:p>
        <w:p w14:paraId="13C79ACD">
          <w:pPr>
            <w:pStyle w:val="15"/>
            <w:tabs>
              <w:tab w:val="right" w:leader="dot" w:pos="8312"/>
              <w:tab w:val="clear" w:pos="8302"/>
            </w:tabs>
          </w:pPr>
          <w:r>
            <w:rPr>
              <w:bCs w:val="0"/>
              <w:lang w:val="zh-CN"/>
            </w:rPr>
            <w:fldChar w:fldCharType="begin"/>
          </w:r>
          <w:r>
            <w:rPr>
              <w:bCs w:val="0"/>
              <w:lang w:val="zh-CN"/>
            </w:rPr>
            <w:instrText xml:space="preserve"> HYPERLINK \l _Toc20965 </w:instrText>
          </w:r>
          <w:r>
            <w:rPr>
              <w:bCs w:val="0"/>
              <w:lang w:val="zh-CN"/>
            </w:rPr>
            <w:fldChar w:fldCharType="separate"/>
          </w:r>
          <w:r>
            <w:t>3.</w:t>
          </w:r>
          <w:r>
            <w:rPr>
              <w:rFonts w:hint="eastAsia"/>
            </w:rPr>
            <w:t>打造“无废数字朝阳”管理新模式</w:t>
          </w:r>
          <w:r>
            <w:tab/>
          </w:r>
          <w:r>
            <w:fldChar w:fldCharType="begin"/>
          </w:r>
          <w:r>
            <w:instrText xml:space="preserve"> PAGEREF _Toc20965 \h </w:instrText>
          </w:r>
          <w:r>
            <w:fldChar w:fldCharType="separate"/>
          </w:r>
          <w:r>
            <w:t>23</w:t>
          </w:r>
          <w:r>
            <w:fldChar w:fldCharType="end"/>
          </w:r>
          <w:r>
            <w:rPr>
              <w:bCs w:val="0"/>
              <w:lang w:val="zh-CN"/>
            </w:rPr>
            <w:fldChar w:fldCharType="end"/>
          </w:r>
        </w:p>
        <w:p w14:paraId="4D9D2A18">
          <w:pPr>
            <w:pStyle w:val="15"/>
            <w:tabs>
              <w:tab w:val="right" w:leader="dot" w:pos="8312"/>
              <w:tab w:val="clear" w:pos="8302"/>
            </w:tabs>
          </w:pPr>
          <w:r>
            <w:rPr>
              <w:bCs w:val="0"/>
              <w:lang w:val="zh-CN"/>
            </w:rPr>
            <w:fldChar w:fldCharType="begin"/>
          </w:r>
          <w:r>
            <w:rPr>
              <w:bCs w:val="0"/>
              <w:lang w:val="zh-CN"/>
            </w:rPr>
            <w:instrText xml:space="preserve"> HYPERLINK \l _Toc26420 </w:instrText>
          </w:r>
          <w:r>
            <w:rPr>
              <w:bCs w:val="0"/>
              <w:lang w:val="zh-CN"/>
            </w:rPr>
            <w:fldChar w:fldCharType="separate"/>
          </w:r>
          <w:r>
            <w:t>4.</w:t>
          </w:r>
          <w:r>
            <w:rPr>
              <w:rFonts w:hint="eastAsia"/>
            </w:rPr>
            <w:t>打造彰显“无废文化”的全球会客厅</w:t>
          </w:r>
          <w:r>
            <w:tab/>
          </w:r>
          <w:r>
            <w:fldChar w:fldCharType="begin"/>
          </w:r>
          <w:r>
            <w:instrText xml:space="preserve"> PAGEREF _Toc26420 \h </w:instrText>
          </w:r>
          <w:r>
            <w:fldChar w:fldCharType="separate"/>
          </w:r>
          <w:r>
            <w:t>24</w:t>
          </w:r>
          <w:r>
            <w:fldChar w:fldCharType="end"/>
          </w:r>
          <w:r>
            <w:rPr>
              <w:bCs w:val="0"/>
              <w:lang w:val="zh-CN"/>
            </w:rPr>
            <w:fldChar w:fldCharType="end"/>
          </w:r>
        </w:p>
        <w:p w14:paraId="4865AB51">
          <w:pPr>
            <w:pStyle w:val="15"/>
            <w:tabs>
              <w:tab w:val="right" w:leader="dot" w:pos="8312"/>
              <w:tab w:val="clear" w:pos="8302"/>
            </w:tabs>
          </w:pPr>
          <w:r>
            <w:rPr>
              <w:bCs w:val="0"/>
              <w:lang w:val="zh-CN"/>
            </w:rPr>
            <w:fldChar w:fldCharType="begin"/>
          </w:r>
          <w:r>
            <w:rPr>
              <w:bCs w:val="0"/>
              <w:lang w:val="zh-CN"/>
            </w:rPr>
            <w:instrText xml:space="preserve"> HYPERLINK \l _Toc7793 </w:instrText>
          </w:r>
          <w:r>
            <w:rPr>
              <w:bCs w:val="0"/>
              <w:lang w:val="zh-CN"/>
            </w:rPr>
            <w:fldChar w:fldCharType="separate"/>
          </w:r>
          <w:r>
            <w:rPr>
              <w:rFonts w:ascii="楷体_GB2312" w:eastAsia="楷体_GB2312"/>
              <w:bCs/>
            </w:rPr>
            <w:t>5.</w:t>
          </w:r>
          <w:r>
            <w:rPr>
              <w:rFonts w:hint="eastAsia"/>
            </w:rPr>
            <w:t>培育数智创新的</w:t>
          </w:r>
          <w:r>
            <w:rPr>
              <w:rFonts w:hint="eastAsia" w:ascii="楷体_GB2312" w:eastAsia="楷体_GB2312"/>
              <w:bCs/>
            </w:rPr>
            <w:t>“无废”</w:t>
          </w:r>
          <w:r>
            <w:rPr>
              <w:rFonts w:hint="eastAsia"/>
            </w:rPr>
            <w:t>环保</w:t>
          </w:r>
          <w:r>
            <w:t>产业集群</w:t>
          </w:r>
          <w:r>
            <w:tab/>
          </w:r>
          <w:r>
            <w:fldChar w:fldCharType="begin"/>
          </w:r>
          <w:r>
            <w:instrText xml:space="preserve"> PAGEREF _Toc7793 \h </w:instrText>
          </w:r>
          <w:r>
            <w:fldChar w:fldCharType="separate"/>
          </w:r>
          <w:r>
            <w:t>25</w:t>
          </w:r>
          <w:r>
            <w:fldChar w:fldCharType="end"/>
          </w:r>
          <w:r>
            <w:rPr>
              <w:bCs w:val="0"/>
              <w:lang w:val="zh-CN"/>
            </w:rPr>
            <w:fldChar w:fldCharType="end"/>
          </w:r>
        </w:p>
        <w:p w14:paraId="740115B6">
          <w:pPr>
            <w:pStyle w:val="22"/>
            <w:tabs>
              <w:tab w:val="right" w:leader="dot" w:pos="8312"/>
            </w:tabs>
          </w:pPr>
          <w:r>
            <w:rPr>
              <w:bCs w:val="0"/>
              <w:lang w:val="zh-CN"/>
            </w:rPr>
            <w:fldChar w:fldCharType="begin"/>
          </w:r>
          <w:r>
            <w:rPr>
              <w:bCs w:val="0"/>
              <w:lang w:val="zh-CN"/>
            </w:rPr>
            <w:instrText xml:space="preserve"> HYPERLINK \l _Toc3759 </w:instrText>
          </w:r>
          <w:r>
            <w:rPr>
              <w:bCs w:val="0"/>
              <w:lang w:val="zh-CN"/>
            </w:rPr>
            <w:fldChar w:fldCharType="separate"/>
          </w:r>
          <w:r>
            <w:rPr>
              <w:rFonts w:hint="eastAsia"/>
              <w:szCs w:val="32"/>
            </w:rPr>
            <w:t>五、保障措施</w:t>
          </w:r>
          <w:r>
            <w:tab/>
          </w:r>
          <w:r>
            <w:fldChar w:fldCharType="begin"/>
          </w:r>
          <w:r>
            <w:instrText xml:space="preserve"> PAGEREF _Toc3759 \h </w:instrText>
          </w:r>
          <w:r>
            <w:fldChar w:fldCharType="separate"/>
          </w:r>
          <w:r>
            <w:t>25</w:t>
          </w:r>
          <w:r>
            <w:fldChar w:fldCharType="end"/>
          </w:r>
          <w:r>
            <w:rPr>
              <w:bCs w:val="0"/>
              <w:lang w:val="zh-CN"/>
            </w:rPr>
            <w:fldChar w:fldCharType="end"/>
          </w:r>
        </w:p>
        <w:p w14:paraId="1F38D579">
          <w:pPr>
            <w:pStyle w:val="28"/>
            <w:tabs>
              <w:tab w:val="right" w:leader="dot" w:pos="8312"/>
            </w:tabs>
          </w:pPr>
          <w:r>
            <w:rPr>
              <w:bCs w:val="0"/>
              <w:lang w:val="zh-CN"/>
            </w:rPr>
            <w:fldChar w:fldCharType="begin"/>
          </w:r>
          <w:r>
            <w:rPr>
              <w:bCs w:val="0"/>
              <w:lang w:val="zh-CN"/>
            </w:rPr>
            <w:instrText xml:space="preserve"> HYPERLINK \l _Toc18878 </w:instrText>
          </w:r>
          <w:r>
            <w:rPr>
              <w:bCs w:val="0"/>
              <w:lang w:val="zh-CN"/>
            </w:rPr>
            <w:fldChar w:fldCharType="separate"/>
          </w:r>
          <w:r>
            <w:rPr>
              <w:rFonts w:hint="eastAsia" w:ascii="仿宋_GB2312" w:eastAsia="仿宋_GB2312"/>
            </w:rPr>
            <w:t>（一）加强组织领导</w:t>
          </w:r>
          <w:r>
            <w:tab/>
          </w:r>
          <w:r>
            <w:fldChar w:fldCharType="begin"/>
          </w:r>
          <w:r>
            <w:instrText xml:space="preserve"> PAGEREF _Toc18878 \h </w:instrText>
          </w:r>
          <w:r>
            <w:fldChar w:fldCharType="separate"/>
          </w:r>
          <w:r>
            <w:t>25</w:t>
          </w:r>
          <w:r>
            <w:fldChar w:fldCharType="end"/>
          </w:r>
          <w:r>
            <w:rPr>
              <w:bCs w:val="0"/>
              <w:lang w:val="zh-CN"/>
            </w:rPr>
            <w:fldChar w:fldCharType="end"/>
          </w:r>
        </w:p>
        <w:p w14:paraId="12323A48">
          <w:pPr>
            <w:pStyle w:val="28"/>
            <w:tabs>
              <w:tab w:val="right" w:leader="dot" w:pos="8312"/>
            </w:tabs>
          </w:pPr>
          <w:r>
            <w:rPr>
              <w:bCs w:val="0"/>
              <w:lang w:val="zh-CN"/>
            </w:rPr>
            <w:fldChar w:fldCharType="begin"/>
          </w:r>
          <w:r>
            <w:rPr>
              <w:bCs w:val="0"/>
              <w:lang w:val="zh-CN"/>
            </w:rPr>
            <w:instrText xml:space="preserve"> HYPERLINK \l _Toc19495 </w:instrText>
          </w:r>
          <w:r>
            <w:rPr>
              <w:bCs w:val="0"/>
              <w:lang w:val="zh-CN"/>
            </w:rPr>
            <w:fldChar w:fldCharType="separate"/>
          </w:r>
          <w:r>
            <w:rPr>
              <w:rFonts w:hint="eastAsia" w:ascii="仿宋_GB2312" w:eastAsia="仿宋_GB2312"/>
            </w:rPr>
            <w:t>（二）落实资金保障</w:t>
          </w:r>
          <w:r>
            <w:tab/>
          </w:r>
          <w:r>
            <w:fldChar w:fldCharType="begin"/>
          </w:r>
          <w:r>
            <w:instrText xml:space="preserve"> PAGEREF _Toc19495 \h </w:instrText>
          </w:r>
          <w:r>
            <w:fldChar w:fldCharType="separate"/>
          </w:r>
          <w:r>
            <w:t>26</w:t>
          </w:r>
          <w:r>
            <w:fldChar w:fldCharType="end"/>
          </w:r>
          <w:r>
            <w:rPr>
              <w:bCs w:val="0"/>
              <w:lang w:val="zh-CN"/>
            </w:rPr>
            <w:fldChar w:fldCharType="end"/>
          </w:r>
        </w:p>
        <w:p w14:paraId="69C3E472">
          <w:pPr>
            <w:pStyle w:val="28"/>
            <w:tabs>
              <w:tab w:val="right" w:leader="dot" w:pos="8312"/>
            </w:tabs>
          </w:pPr>
          <w:r>
            <w:rPr>
              <w:bCs w:val="0"/>
              <w:lang w:val="zh-CN"/>
            </w:rPr>
            <w:fldChar w:fldCharType="begin"/>
          </w:r>
          <w:r>
            <w:rPr>
              <w:bCs w:val="0"/>
              <w:lang w:val="zh-CN"/>
            </w:rPr>
            <w:instrText xml:space="preserve"> HYPERLINK \l _Toc25951 </w:instrText>
          </w:r>
          <w:r>
            <w:rPr>
              <w:bCs w:val="0"/>
              <w:lang w:val="zh-CN"/>
            </w:rPr>
            <w:fldChar w:fldCharType="separate"/>
          </w:r>
          <w:r>
            <w:rPr>
              <w:rFonts w:hint="eastAsia" w:ascii="仿宋_GB2312" w:eastAsia="仿宋_GB2312"/>
            </w:rPr>
            <w:t>（三）加强技术指导</w:t>
          </w:r>
          <w:r>
            <w:tab/>
          </w:r>
          <w:r>
            <w:fldChar w:fldCharType="begin"/>
          </w:r>
          <w:r>
            <w:instrText xml:space="preserve"> PAGEREF _Toc25951 \h </w:instrText>
          </w:r>
          <w:r>
            <w:fldChar w:fldCharType="separate"/>
          </w:r>
          <w:r>
            <w:t>26</w:t>
          </w:r>
          <w:r>
            <w:fldChar w:fldCharType="end"/>
          </w:r>
          <w:r>
            <w:rPr>
              <w:bCs w:val="0"/>
              <w:lang w:val="zh-CN"/>
            </w:rPr>
            <w:fldChar w:fldCharType="end"/>
          </w:r>
        </w:p>
        <w:p w14:paraId="55C3930A">
          <w:pPr>
            <w:pStyle w:val="28"/>
            <w:tabs>
              <w:tab w:val="right" w:leader="dot" w:pos="8312"/>
            </w:tabs>
          </w:pPr>
          <w:r>
            <w:rPr>
              <w:bCs w:val="0"/>
              <w:lang w:val="zh-CN"/>
            </w:rPr>
            <w:fldChar w:fldCharType="begin"/>
          </w:r>
          <w:r>
            <w:rPr>
              <w:bCs w:val="0"/>
              <w:lang w:val="zh-CN"/>
            </w:rPr>
            <w:instrText xml:space="preserve"> HYPERLINK \l _Toc18132 </w:instrText>
          </w:r>
          <w:r>
            <w:rPr>
              <w:bCs w:val="0"/>
              <w:lang w:val="zh-CN"/>
            </w:rPr>
            <w:fldChar w:fldCharType="separate"/>
          </w:r>
          <w:r>
            <w:rPr>
              <w:rFonts w:hint="eastAsia" w:ascii="仿宋_GB2312" w:eastAsia="仿宋_GB2312"/>
            </w:rPr>
            <w:t>（四）强化宣传引导</w:t>
          </w:r>
          <w:r>
            <w:tab/>
          </w:r>
          <w:r>
            <w:fldChar w:fldCharType="begin"/>
          </w:r>
          <w:r>
            <w:instrText xml:space="preserve"> PAGEREF _Toc18132 \h </w:instrText>
          </w:r>
          <w:r>
            <w:fldChar w:fldCharType="separate"/>
          </w:r>
          <w:r>
            <w:t>27</w:t>
          </w:r>
          <w:r>
            <w:fldChar w:fldCharType="end"/>
          </w:r>
          <w:r>
            <w:rPr>
              <w:bCs w:val="0"/>
              <w:lang w:val="zh-CN"/>
            </w:rPr>
            <w:fldChar w:fldCharType="end"/>
          </w:r>
        </w:p>
        <w:p w14:paraId="39890D15">
          <w:pPr>
            <w:pStyle w:val="22"/>
            <w:tabs>
              <w:tab w:val="right" w:leader="dot" w:pos="8302"/>
            </w:tabs>
          </w:pPr>
          <w:r>
            <w:rPr>
              <w:bCs w:val="0"/>
              <w:lang w:val="zh-CN"/>
            </w:rPr>
            <w:fldChar w:fldCharType="end"/>
          </w:r>
        </w:p>
      </w:sdtContent>
    </w:sdt>
    <w:p w14:paraId="63E67802">
      <w:pPr>
        <w:pStyle w:val="2"/>
        <w:spacing w:line="520" w:lineRule="exact"/>
        <w:jc w:val="both"/>
        <w:sectPr>
          <w:type w:val="continuous"/>
          <w:pgSz w:w="11906" w:h="16838"/>
          <w:pgMar w:top="1440" w:right="1797" w:bottom="1440" w:left="1797" w:header="283" w:footer="283" w:gutter="0"/>
          <w:pgNumType w:fmt="upperRoman" w:start="1"/>
          <w:cols w:space="425" w:num="1"/>
          <w:docGrid w:type="linesAndChars" w:linePitch="435" w:charSpace="0"/>
        </w:sectPr>
      </w:pPr>
    </w:p>
    <w:p w14:paraId="29BDC261">
      <w:pPr>
        <w:widowControl/>
        <w:adjustRightInd/>
        <w:snapToGrid/>
        <w:spacing w:line="240" w:lineRule="auto"/>
        <w:ind w:firstLine="0" w:firstLineChars="0"/>
        <w:jc w:val="left"/>
        <w:rPr>
          <w:rFonts w:eastAsia="黑体"/>
          <w:bCs/>
          <w:kern w:val="44"/>
          <w:szCs w:val="44"/>
        </w:rPr>
      </w:pPr>
      <w:r>
        <w:br w:type="page"/>
      </w:r>
    </w:p>
    <w:p w14:paraId="6D01A570">
      <w:pPr>
        <w:pStyle w:val="2"/>
        <w:spacing w:line="520" w:lineRule="exact"/>
        <w:jc w:val="both"/>
        <w:sectPr>
          <w:type w:val="continuous"/>
          <w:pgSz w:w="11906" w:h="16838"/>
          <w:pgMar w:top="1440" w:right="1797" w:bottom="1440" w:left="1797" w:header="283" w:footer="283" w:gutter="0"/>
          <w:pgNumType w:start="1"/>
          <w:cols w:space="425" w:num="1"/>
          <w:docGrid w:type="linesAndChars" w:linePitch="435" w:charSpace="0"/>
        </w:sectPr>
      </w:pPr>
    </w:p>
    <w:p w14:paraId="0ABD4BF7">
      <w:pPr>
        <w:pStyle w:val="2"/>
        <w:spacing w:line="520" w:lineRule="exact"/>
        <w:jc w:val="both"/>
        <w:rPr>
          <w:szCs w:val="32"/>
        </w:rPr>
      </w:pPr>
      <w:bookmarkStart w:id="33" w:name="_Toc7616"/>
      <w:r>
        <w:rPr>
          <w:rFonts w:hint="eastAsia"/>
          <w:szCs w:val="32"/>
        </w:rPr>
        <w:t>一、开展“无废城市”建设的重要意义</w:t>
      </w:r>
      <w:bookmarkEnd w:id="33"/>
    </w:p>
    <w:p w14:paraId="4D7DFE9A">
      <w:pPr>
        <w:spacing w:line="520" w:lineRule="exact"/>
        <w:ind w:firstLine="640"/>
        <w:rPr>
          <w:szCs w:val="32"/>
        </w:rPr>
      </w:pPr>
      <w:r>
        <w:rPr>
          <w:rFonts w:hint="eastAsia"/>
          <w:szCs w:val="32"/>
        </w:rPr>
        <w:t>开展“无废城市”建设是深入贯彻落实习近平生态文明思想的具体行动。加强固体废物治理是生态文明建设的重要内容。开展“无废城市”建设，是提升固体废物污染防治水平的有效抓手，是落实固体废物综合治理行动计划的具体体现，</w:t>
      </w:r>
      <w:r>
        <w:rPr>
          <w:rFonts w:hint="eastAsia"/>
        </w:rPr>
        <w:t>是持续深入打好污染防治攻坚战、建设美丽中国的重要内容，是加快推动城市绿色低碳转型、实现高质量发展的应有之义。</w:t>
      </w:r>
      <w:r>
        <w:rPr>
          <w:rFonts w:hint="eastAsia"/>
          <w:szCs w:val="32"/>
        </w:rPr>
        <w:t>朝阳区作为特大城市中心城区，人口产业密集，固体废物产生量大，开展“无废城市”建设，将实现城市废弃物代谢从“线性排放”向“循环低碳”新路径转变，为超大城市破解“垃圾围城”、实现绿色低碳发展提供“朝阳方案”。</w:t>
      </w:r>
    </w:p>
    <w:p w14:paraId="2E145272">
      <w:pPr>
        <w:spacing w:line="520" w:lineRule="exact"/>
        <w:ind w:firstLine="640"/>
        <w:rPr>
          <w:szCs w:val="32"/>
        </w:rPr>
      </w:pPr>
      <w:r>
        <w:rPr>
          <w:rFonts w:hint="eastAsia" w:ascii="Times New Roman"/>
          <w:b w:val="0"/>
          <w:szCs w:val="32"/>
        </w:rPr>
        <w:t>开展“无废城市”建设是推动减污降碳协同增效的重要举措。</w:t>
      </w:r>
      <w:r>
        <w:rPr>
          <w:rFonts w:hint="eastAsia"/>
          <w:szCs w:val="32"/>
        </w:rPr>
        <w:t>我国生态文明建设已进入以降碳为重点战略方向、推动减污降碳协同增效、促进经济社会发展全面绿色转型、实现生态环境质量改善由量变到质变的关键时期。固体废物污染防治一头连着减污，一头连着降碳，随着“双碳”战略的深入推进，在工业、农业、生活和建筑领域系统推进固体废物减量化、资源化和无害化，能够更好地推动能源结构根本改变和产业结构、交通运输结构、用地结构的优化调整，从而实现减污降碳协同增效。</w:t>
      </w:r>
      <w:r>
        <w:rPr>
          <w:szCs w:val="32"/>
        </w:rPr>
        <w:t>2024</w:t>
      </w:r>
      <w:r>
        <w:rPr>
          <w:rFonts w:hint="eastAsia"/>
          <w:szCs w:val="32"/>
        </w:rPr>
        <w:t>年朝阳区被列为国家首批减污降碳协同创新试点城市，开</w:t>
      </w:r>
      <w:r>
        <w:rPr>
          <w:rFonts w:hint="eastAsia" w:ascii="仿宋_GB2312"/>
          <w:szCs w:val="32"/>
        </w:rPr>
        <w:t>展“无废城市”</w:t>
      </w:r>
      <w:r>
        <w:rPr>
          <w:rFonts w:hint="eastAsia"/>
          <w:szCs w:val="32"/>
        </w:rPr>
        <w:t>建设将助力朝阳区完成减污降碳协同创新试点建设。</w:t>
      </w:r>
    </w:p>
    <w:p w14:paraId="433F40AA">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szCs w:val="32"/>
        </w:rPr>
      </w:pPr>
      <w:r>
        <w:rPr>
          <w:rFonts w:hint="eastAsia"/>
          <w:szCs w:val="32"/>
        </w:rPr>
        <w:t>开展“无废城市”建设是提升“五区”功能、建好“五宜”朝阳的必由之路。“无废城市”是一种先进的城市管理理念，以新发展理念为引领，通过推动形成绿色发展方式和生活方式，持续推进固体废物源头减量和资源化利用，最大限度减少填埋量，将固体废物环境影响降至最低的城市发展模式。通过深化工业固体废物、生活垃圾、建筑垃圾等多品类固体废物的全链条管理，开展“无废城市细胞”建设、</w:t>
      </w:r>
      <w:r>
        <w:rPr>
          <w:rFonts w:hint="eastAsia" w:ascii="仿宋_GB2312"/>
          <w:szCs w:val="32"/>
        </w:rPr>
        <w:t>“无废文化”宣</w:t>
      </w:r>
      <w:r>
        <w:rPr>
          <w:rFonts w:hint="eastAsia"/>
          <w:szCs w:val="32"/>
        </w:rPr>
        <w:t>传、绿色建筑及装配式建筑推广等工作，激活城市细胞绿色活力，助力提升朝阳区“五区”功能，与人民共享宜居、宜业、宜商、宜学、宜游的“五宜”朝阳建设成果。</w:t>
      </w:r>
    </w:p>
    <w:p w14:paraId="6CA092D8">
      <w:pPr>
        <w:pStyle w:val="2"/>
        <w:spacing w:line="520" w:lineRule="exact"/>
        <w:jc w:val="both"/>
        <w:rPr>
          <w:szCs w:val="32"/>
        </w:rPr>
      </w:pPr>
      <w:bookmarkStart w:id="34" w:name="_Toc5769"/>
      <w:r>
        <w:rPr>
          <w:rFonts w:hint="eastAsia"/>
          <w:szCs w:val="32"/>
        </w:rPr>
        <w:t>二、指导思想和原则</w:t>
      </w:r>
      <w:bookmarkEnd w:id="34"/>
    </w:p>
    <w:p w14:paraId="672E678C">
      <w:pPr>
        <w:pStyle w:val="3"/>
        <w:spacing w:line="520" w:lineRule="exact"/>
        <w:rPr>
          <w:rFonts w:ascii="仿宋_GB2312" w:eastAsia="仿宋_GB2312"/>
          <w:b/>
        </w:rPr>
      </w:pPr>
      <w:bookmarkStart w:id="35" w:name="_Toc21919"/>
      <w:r>
        <w:rPr>
          <w:rFonts w:hint="eastAsia" w:ascii="仿宋_GB2312" w:eastAsia="仿宋_GB2312"/>
          <w:b/>
        </w:rPr>
        <w:t>（一）指导思想</w:t>
      </w:r>
      <w:bookmarkEnd w:id="35"/>
    </w:p>
    <w:p w14:paraId="7A474218">
      <w:pPr>
        <w:spacing w:line="520" w:lineRule="exact"/>
        <w:ind w:firstLine="640"/>
        <w:rPr>
          <w:szCs w:val="32"/>
        </w:rPr>
      </w:pPr>
      <w:r>
        <w:rPr>
          <w:rFonts w:hint="eastAsia"/>
          <w:szCs w:val="32"/>
        </w:rPr>
        <w:t>以习近平新时代中国特色社会主义思想为指导，全面贯彻党的二十大和二十届历次全会精神，贯彻落实党中央、国务院关于建设“无废城市”、推进美丽中国建设的决策部署，以及市委工作安排，立足新发展阶段、贯彻新发展理念、构建新发展格局，</w:t>
      </w:r>
      <w:bookmarkStart w:id="36" w:name="OLE_LINK4"/>
      <w:bookmarkStart w:id="37" w:name="OLE_LINK3"/>
      <w:r>
        <w:rPr>
          <w:rFonts w:hint="eastAsia"/>
          <w:szCs w:val="32"/>
        </w:rPr>
        <w:t>紧紧围绕</w:t>
      </w:r>
      <w:bookmarkStart w:id="38" w:name="OLE_LINK8"/>
      <w:r>
        <w:rPr>
          <w:rFonts w:hint="eastAsia"/>
          <w:szCs w:val="32"/>
        </w:rPr>
        <w:t>提升“五区”功能、建好“五宜”朝阳总体发展思路</w:t>
      </w:r>
      <w:bookmarkEnd w:id="36"/>
      <w:bookmarkEnd w:id="37"/>
      <w:bookmarkEnd w:id="38"/>
      <w:r>
        <w:rPr>
          <w:rFonts w:hint="eastAsia"/>
          <w:szCs w:val="32"/>
        </w:rPr>
        <w:t>，践行“人民城市人民建</w:t>
      </w:r>
      <w:r>
        <w:rPr>
          <w:szCs w:val="32"/>
        </w:rPr>
        <w:t xml:space="preserve"> </w:t>
      </w:r>
      <w:r>
        <w:rPr>
          <w:rFonts w:hint="eastAsia"/>
          <w:szCs w:val="32"/>
        </w:rPr>
        <w:t>人民城市为人民”和“绿水青山就是金山银山”理念，统筹城市发展与固体废物管理，强化制度、技术、市场等基本保障，大力推进固体废物减量化、资源化、无害化，充分发挥减污降碳协同效应，有效提升精细化管理水平，为深入打好污染防治攻坚战、推动实现碳达峰碳中和、建设美丽中国作出贡献。</w:t>
      </w:r>
    </w:p>
    <w:p w14:paraId="3854E16E">
      <w:pPr>
        <w:widowControl/>
        <w:adjustRightInd/>
        <w:snapToGrid/>
        <w:spacing w:line="240" w:lineRule="auto"/>
        <w:ind w:firstLine="0" w:firstLineChars="0"/>
        <w:jc w:val="left"/>
        <w:rPr>
          <w:rFonts w:ascii="仿宋_GB2312" w:cstheme="majorBidi"/>
          <w:b/>
          <w:bCs/>
          <w:szCs w:val="32"/>
        </w:rPr>
      </w:pPr>
      <w:r>
        <w:rPr>
          <w:rFonts w:ascii="仿宋_GB2312"/>
          <w:b/>
        </w:rPr>
        <w:br w:type="page"/>
      </w:r>
    </w:p>
    <w:p w14:paraId="1ABF8390">
      <w:pPr>
        <w:pStyle w:val="3"/>
        <w:spacing w:line="520" w:lineRule="exact"/>
        <w:rPr>
          <w:rFonts w:ascii="仿宋_GB2312" w:eastAsia="仿宋_GB2312"/>
          <w:b/>
        </w:rPr>
      </w:pPr>
      <w:bookmarkStart w:id="39" w:name="_Toc8189"/>
      <w:r>
        <w:rPr>
          <w:rFonts w:hint="eastAsia" w:ascii="仿宋_GB2312" w:eastAsia="仿宋_GB2312"/>
          <w:b/>
        </w:rPr>
        <w:t>（二）基本原则</w:t>
      </w:r>
      <w:bookmarkEnd w:id="39"/>
    </w:p>
    <w:p w14:paraId="4EA0CE63">
      <w:pPr>
        <w:pStyle w:val="4"/>
        <w:spacing w:line="520" w:lineRule="exact"/>
        <w:ind w:firstLine="643" w:firstLineChars="200"/>
      </w:pPr>
      <w:bookmarkStart w:id="40" w:name="_Toc220082455"/>
      <w:bookmarkStart w:id="41" w:name="_Toc215658976"/>
      <w:bookmarkStart w:id="42" w:name="_Toc215659232"/>
      <w:bookmarkStart w:id="43" w:name="_Toc24118"/>
      <w:r>
        <w:rPr>
          <w:rFonts w:hint="eastAsia"/>
        </w:rPr>
        <w:t>坚持系统谋划，彰显特色</w:t>
      </w:r>
      <w:bookmarkEnd w:id="40"/>
      <w:bookmarkEnd w:id="41"/>
      <w:bookmarkEnd w:id="42"/>
      <w:bookmarkEnd w:id="43"/>
    </w:p>
    <w:p w14:paraId="4026F411">
      <w:pPr>
        <w:spacing w:line="520" w:lineRule="exact"/>
        <w:ind w:firstLine="640"/>
        <w:rPr>
          <w:szCs w:val="32"/>
        </w:rPr>
      </w:pPr>
      <w:r>
        <w:rPr>
          <w:rFonts w:hint="eastAsia"/>
          <w:szCs w:val="32"/>
        </w:rPr>
        <w:t>在深入打好污染防治攻坚战和碳达峰碳中和等重大战略部署下系统谋划朝阳区“无废城市”建设的目标指标、重点任务和保障措施，将</w:t>
      </w:r>
      <w:r>
        <w:rPr>
          <w:rFonts w:hint="eastAsia" w:ascii="仿宋_GB2312"/>
          <w:szCs w:val="32"/>
        </w:rPr>
        <w:t>“无废城市”建设理念贯穿提升“五区”功能、建好“五宜”朝阳</w:t>
      </w:r>
      <w:r>
        <w:rPr>
          <w:rFonts w:hint="eastAsia"/>
          <w:szCs w:val="32"/>
        </w:rPr>
        <w:t>的各方面、全过程，注重综合治理、系统治理，提升城市精细化管理水平。</w:t>
      </w:r>
    </w:p>
    <w:p w14:paraId="38522D13">
      <w:pPr>
        <w:pStyle w:val="4"/>
        <w:spacing w:line="520" w:lineRule="exact"/>
        <w:ind w:firstLine="643" w:firstLineChars="200"/>
      </w:pPr>
      <w:bookmarkStart w:id="44" w:name="_Toc215658977"/>
      <w:bookmarkStart w:id="45" w:name="_Toc220082456"/>
      <w:bookmarkStart w:id="46" w:name="_Toc28419"/>
      <w:bookmarkStart w:id="47" w:name="_Toc215659233"/>
      <w:r>
        <w:rPr>
          <w:rFonts w:hint="eastAsia"/>
        </w:rPr>
        <w:t>坚持利民惠民，共建共享</w:t>
      </w:r>
      <w:bookmarkEnd w:id="44"/>
      <w:bookmarkEnd w:id="45"/>
      <w:bookmarkEnd w:id="46"/>
      <w:bookmarkEnd w:id="47"/>
    </w:p>
    <w:p w14:paraId="316E1854">
      <w:pPr>
        <w:spacing w:line="520" w:lineRule="exact"/>
        <w:ind w:firstLine="640"/>
        <w:rPr>
          <w:szCs w:val="32"/>
        </w:rPr>
      </w:pPr>
      <w:r>
        <w:rPr>
          <w:rFonts w:hint="eastAsia"/>
          <w:szCs w:val="32"/>
        </w:rPr>
        <w:t>坚持以人民为中心，生态惠民、生态为民、生态利民，不断满足人民群众日益增长的优美生态环境需要，提升人民群众生态环境获得感、幸福感和安全感。探索“共谋、共建、共享、共治”新路径、新载体，构建党委领导、政府主导、企业主体、社会组织和公众共同参与的“无废城市”建设工作格局。</w:t>
      </w:r>
    </w:p>
    <w:p w14:paraId="3B1E48A9">
      <w:pPr>
        <w:pStyle w:val="4"/>
        <w:spacing w:line="520" w:lineRule="exact"/>
        <w:ind w:firstLine="643" w:firstLineChars="200"/>
      </w:pPr>
      <w:bookmarkStart w:id="48" w:name="_Toc220082457"/>
      <w:bookmarkStart w:id="49" w:name="_Toc215658978"/>
      <w:bookmarkStart w:id="50" w:name="_Toc215659234"/>
      <w:bookmarkStart w:id="51" w:name="_Toc12254"/>
      <w:r>
        <w:rPr>
          <w:rFonts w:hint="eastAsia"/>
        </w:rPr>
        <w:t>坚持目标导向，重点突出</w:t>
      </w:r>
      <w:bookmarkEnd w:id="48"/>
      <w:bookmarkEnd w:id="49"/>
      <w:bookmarkEnd w:id="50"/>
      <w:bookmarkEnd w:id="51"/>
    </w:p>
    <w:p w14:paraId="67A8146C">
      <w:pPr>
        <w:spacing w:line="520" w:lineRule="exact"/>
        <w:ind w:firstLine="640"/>
        <w:rPr>
          <w:szCs w:val="32"/>
        </w:rPr>
      </w:pPr>
      <w:r>
        <w:rPr>
          <w:rFonts w:hint="eastAsia"/>
          <w:szCs w:val="32"/>
        </w:rPr>
        <w:t>以建成具有国际影响力和竞争力的和谐宜居国际化城区为目标，按照优先源头减量、充分资源化利用、全过程无害化原则，推动形成绿色生产和生活方式，加快补齐治理体系和基础设施短板，持续提升固体废物综合治理能力。</w:t>
      </w:r>
    </w:p>
    <w:p w14:paraId="16147328">
      <w:pPr>
        <w:pStyle w:val="4"/>
        <w:spacing w:line="520" w:lineRule="exact"/>
        <w:ind w:firstLine="643" w:firstLineChars="200"/>
      </w:pPr>
      <w:bookmarkStart w:id="52" w:name="_Toc220082458"/>
      <w:bookmarkStart w:id="53" w:name="_Toc215659236"/>
      <w:bookmarkStart w:id="54" w:name="_Toc21110"/>
      <w:bookmarkStart w:id="55" w:name="_Toc215658980"/>
      <w:r>
        <w:rPr>
          <w:rFonts w:hint="eastAsia"/>
        </w:rPr>
        <w:t>坚持科技创新，深化改革</w:t>
      </w:r>
      <w:bookmarkEnd w:id="52"/>
      <w:bookmarkEnd w:id="53"/>
      <w:bookmarkEnd w:id="54"/>
      <w:bookmarkEnd w:id="55"/>
    </w:p>
    <w:p w14:paraId="2C626468">
      <w:pPr>
        <w:spacing w:line="520" w:lineRule="exact"/>
        <w:ind w:firstLine="640"/>
        <w:rPr>
          <w:szCs w:val="32"/>
        </w:rPr>
      </w:pPr>
      <w:r>
        <w:rPr>
          <w:rFonts w:hint="eastAsia"/>
          <w:szCs w:val="32"/>
        </w:rPr>
        <w:t>健全固体废物污染环境防治长效机制。深化体制机制改革，建立健全相关制度、技术、市场、监管四大体系，强化信息化、大数据等现代智能手段运用，加快健全现代环境治理体系，打造与生态环境治理形势相适应的治理能力和水平。</w:t>
      </w:r>
    </w:p>
    <w:p w14:paraId="103396AE">
      <w:pPr>
        <w:widowControl/>
        <w:adjustRightInd/>
        <w:snapToGrid/>
        <w:spacing w:line="240" w:lineRule="auto"/>
        <w:ind w:firstLine="0" w:firstLineChars="0"/>
        <w:jc w:val="left"/>
        <w:rPr>
          <w:rFonts w:ascii="仿宋_GB2312" w:cstheme="majorBidi"/>
          <w:b/>
          <w:bCs/>
          <w:szCs w:val="32"/>
        </w:rPr>
      </w:pPr>
      <w:r>
        <w:rPr>
          <w:rFonts w:ascii="仿宋_GB2312"/>
          <w:b/>
        </w:rPr>
        <w:br w:type="page"/>
      </w:r>
    </w:p>
    <w:p w14:paraId="55B2C771">
      <w:pPr>
        <w:pStyle w:val="3"/>
        <w:spacing w:line="520" w:lineRule="exact"/>
        <w:rPr>
          <w:rFonts w:ascii="仿宋_GB2312" w:eastAsia="仿宋_GB2312"/>
          <w:b/>
        </w:rPr>
      </w:pPr>
      <w:bookmarkStart w:id="56" w:name="_Toc15975"/>
      <w:r>
        <w:rPr>
          <w:rFonts w:hint="eastAsia" w:ascii="仿宋_GB2312" w:eastAsia="仿宋_GB2312"/>
          <w:b/>
        </w:rPr>
        <w:t>（三）建设范围和时限</w:t>
      </w:r>
      <w:bookmarkEnd w:id="56"/>
    </w:p>
    <w:p w14:paraId="469A15D6">
      <w:pPr>
        <w:spacing w:line="520" w:lineRule="exact"/>
        <w:ind w:firstLine="640"/>
        <w:rPr>
          <w:szCs w:val="32"/>
        </w:rPr>
      </w:pPr>
      <w:r>
        <w:rPr>
          <w:szCs w:val="32"/>
        </w:rPr>
        <w:t>1.</w:t>
      </w:r>
      <w:r>
        <w:rPr>
          <w:rFonts w:hint="eastAsia"/>
          <w:szCs w:val="32"/>
        </w:rPr>
        <w:t>建设范围</w:t>
      </w:r>
    </w:p>
    <w:p w14:paraId="2044A024">
      <w:pPr>
        <w:spacing w:line="520" w:lineRule="exact"/>
        <w:ind w:firstLine="640"/>
        <w:rPr>
          <w:szCs w:val="32"/>
        </w:rPr>
      </w:pPr>
      <w:r>
        <w:rPr>
          <w:rFonts w:hint="eastAsia"/>
          <w:szCs w:val="32"/>
        </w:rPr>
        <w:t>建设范围包括朝阳区下辖</w:t>
      </w:r>
      <w:r>
        <w:rPr>
          <w:szCs w:val="32"/>
        </w:rPr>
        <w:t>24</w:t>
      </w:r>
      <w:r>
        <w:rPr>
          <w:rFonts w:hint="eastAsia"/>
          <w:szCs w:val="32"/>
        </w:rPr>
        <w:t>个街道、</w:t>
      </w:r>
      <w:r>
        <w:rPr>
          <w:szCs w:val="32"/>
        </w:rPr>
        <w:t>19</w:t>
      </w:r>
      <w:r>
        <w:rPr>
          <w:rFonts w:hint="eastAsia"/>
          <w:szCs w:val="32"/>
        </w:rPr>
        <w:t>个地区，总面积</w:t>
      </w:r>
      <w:r>
        <w:rPr>
          <w:szCs w:val="32"/>
        </w:rPr>
        <w:t>470.8</w:t>
      </w:r>
      <w:r>
        <w:rPr>
          <w:rFonts w:hint="eastAsia"/>
          <w:szCs w:val="32"/>
        </w:rPr>
        <w:t>平方千米。</w:t>
      </w:r>
    </w:p>
    <w:p w14:paraId="03C0400D">
      <w:pPr>
        <w:spacing w:line="520" w:lineRule="exact"/>
        <w:ind w:firstLine="640"/>
        <w:rPr>
          <w:szCs w:val="32"/>
        </w:rPr>
      </w:pPr>
      <w:r>
        <w:rPr>
          <w:szCs w:val="32"/>
        </w:rPr>
        <w:t>2.</w:t>
      </w:r>
      <w:r>
        <w:rPr>
          <w:rFonts w:hint="eastAsia"/>
          <w:szCs w:val="32"/>
        </w:rPr>
        <w:t>建设时限</w:t>
      </w:r>
    </w:p>
    <w:p w14:paraId="0165E454">
      <w:pPr>
        <w:spacing w:line="520" w:lineRule="exact"/>
        <w:ind w:firstLine="640"/>
        <w:rPr>
          <w:szCs w:val="32"/>
        </w:rPr>
      </w:pPr>
      <w:r>
        <w:rPr>
          <w:rFonts w:hint="eastAsia"/>
          <w:szCs w:val="32"/>
        </w:rPr>
        <w:t>以</w:t>
      </w:r>
      <w:r>
        <w:rPr>
          <w:szCs w:val="32"/>
        </w:rPr>
        <w:t>2024</w:t>
      </w:r>
      <w:r>
        <w:rPr>
          <w:rFonts w:hint="eastAsia"/>
          <w:szCs w:val="32"/>
        </w:rPr>
        <w:t>年为建设基准年，</w:t>
      </w:r>
      <w:r>
        <w:rPr>
          <w:szCs w:val="32"/>
        </w:rPr>
        <w:t>2026-2030</w:t>
      </w:r>
      <w:r>
        <w:rPr>
          <w:rFonts w:hint="eastAsia"/>
          <w:szCs w:val="32"/>
        </w:rPr>
        <w:t>年全面开展，</w:t>
      </w:r>
      <w:r>
        <w:rPr>
          <w:szCs w:val="32"/>
        </w:rPr>
        <w:t>2030-2035</w:t>
      </w:r>
      <w:r>
        <w:rPr>
          <w:rFonts w:hint="eastAsia"/>
          <w:szCs w:val="32"/>
        </w:rPr>
        <w:t>年持续推进。</w:t>
      </w:r>
      <w:r>
        <w:rPr>
          <w:szCs w:val="32"/>
        </w:rPr>
        <w:t xml:space="preserve"> </w:t>
      </w:r>
    </w:p>
    <w:p w14:paraId="3CF5276F">
      <w:pPr>
        <w:pStyle w:val="2"/>
        <w:spacing w:line="520" w:lineRule="exact"/>
        <w:jc w:val="both"/>
        <w:rPr>
          <w:rFonts w:eastAsia="仿宋"/>
          <w:b/>
          <w:kern w:val="2"/>
          <w:szCs w:val="32"/>
        </w:rPr>
      </w:pPr>
      <w:bookmarkStart w:id="57" w:name="_Toc13780"/>
      <w:r>
        <w:rPr>
          <w:rFonts w:hint="eastAsia"/>
          <w:szCs w:val="32"/>
        </w:rPr>
        <w:t>三、建设目标</w:t>
      </w:r>
      <w:bookmarkEnd w:id="2"/>
      <w:bookmarkEnd w:id="57"/>
    </w:p>
    <w:p w14:paraId="4697C8FE">
      <w:pPr>
        <w:spacing w:line="520" w:lineRule="exact"/>
        <w:ind w:firstLine="640"/>
        <w:rPr>
          <w:szCs w:val="32"/>
        </w:rPr>
      </w:pPr>
      <w:r>
        <w:rPr>
          <w:rFonts w:hint="eastAsia"/>
          <w:szCs w:val="32"/>
        </w:rPr>
        <w:t>立足朝阳区提升“五区”功能、建好“五宜”朝阳总体发展思路，通过开展“无废城市”建设，打造朝阳区</w:t>
      </w:r>
      <w:r>
        <w:rPr>
          <w:rFonts w:hint="eastAsia" w:ascii="仿宋_GB2312"/>
          <w:szCs w:val="32"/>
        </w:rPr>
        <w:t>“无废城市”建</w:t>
      </w:r>
      <w:r>
        <w:rPr>
          <w:rFonts w:hint="eastAsia"/>
          <w:szCs w:val="32"/>
        </w:rPr>
        <w:t>设特色模式，强化工业固体废物源头减量和高效利用，提升生活垃圾管理实效，强化建筑垃圾全过程治理，严密防控危险废物环境风险，加强农林固废和污泥高效利用。建成责任清晰、分工明确、高效协同的固体废物综合管理体系，全区固体废物综合治理水平居于全市领先。</w:t>
      </w:r>
    </w:p>
    <w:p w14:paraId="3D4B250D">
      <w:pPr>
        <w:spacing w:line="520" w:lineRule="exact"/>
        <w:ind w:firstLine="640"/>
        <w:rPr>
          <w:szCs w:val="32"/>
        </w:rPr>
      </w:pPr>
      <w:r>
        <w:rPr>
          <w:rFonts w:hint="eastAsia"/>
          <w:szCs w:val="32"/>
        </w:rPr>
        <w:t>到</w:t>
      </w:r>
      <w:r>
        <w:rPr>
          <w:szCs w:val="32"/>
        </w:rPr>
        <w:t>2027</w:t>
      </w:r>
      <w:r>
        <w:rPr>
          <w:rFonts w:hint="eastAsia"/>
          <w:szCs w:val="32"/>
        </w:rPr>
        <w:t>年，全区</w:t>
      </w:r>
      <w:r>
        <w:rPr>
          <w:rFonts w:hint="eastAsia" w:ascii="仿宋_GB2312"/>
          <w:szCs w:val="32"/>
        </w:rPr>
        <w:t>“无废城市指数”达到</w:t>
      </w:r>
      <w:r>
        <w:rPr>
          <w:szCs w:val="32"/>
        </w:rPr>
        <w:t>85</w:t>
      </w:r>
      <w:r>
        <w:rPr>
          <w:rFonts w:hint="eastAsia"/>
          <w:szCs w:val="32"/>
        </w:rPr>
        <w:t>以上，一般工业固体废物综合利用率达到</w:t>
      </w:r>
      <w:r>
        <w:rPr>
          <w:szCs w:val="32"/>
        </w:rPr>
        <w:t>100%</w:t>
      </w:r>
      <w:r>
        <w:rPr>
          <w:rFonts w:hint="eastAsia"/>
          <w:szCs w:val="32"/>
        </w:rPr>
        <w:t>，生活垃圾回收利用率不低于</w:t>
      </w:r>
      <w:r>
        <w:rPr>
          <w:szCs w:val="32"/>
        </w:rPr>
        <w:t>46%</w:t>
      </w:r>
      <w:r>
        <w:rPr>
          <w:rFonts w:hint="eastAsia"/>
          <w:szCs w:val="32"/>
        </w:rPr>
        <w:t>，建筑垃圾资源化利用率达到</w:t>
      </w:r>
      <w:r>
        <w:rPr>
          <w:szCs w:val="32"/>
        </w:rPr>
        <w:t>100%</w:t>
      </w:r>
      <w:r>
        <w:rPr>
          <w:rFonts w:hint="eastAsia"/>
          <w:szCs w:val="32"/>
        </w:rPr>
        <w:t>，农作物秸秆综合利用率达到</w:t>
      </w:r>
      <w:r>
        <w:rPr>
          <w:szCs w:val="32"/>
        </w:rPr>
        <w:t>100%</w:t>
      </w:r>
      <w:r>
        <w:rPr>
          <w:rFonts w:hint="eastAsia"/>
          <w:szCs w:val="32"/>
        </w:rPr>
        <w:t>，废弃农膜、农药包装物回收率达到</w:t>
      </w:r>
      <w:r>
        <w:rPr>
          <w:szCs w:val="32"/>
        </w:rPr>
        <w:t>95%</w:t>
      </w:r>
      <w:r>
        <w:rPr>
          <w:rFonts w:hint="eastAsia"/>
          <w:szCs w:val="32"/>
        </w:rPr>
        <w:t>。</w:t>
      </w:r>
    </w:p>
    <w:p w14:paraId="53310ACD">
      <w:pPr>
        <w:spacing w:line="520" w:lineRule="exact"/>
        <w:ind w:firstLine="640"/>
        <w:rPr>
          <w:szCs w:val="32"/>
        </w:rPr>
      </w:pPr>
      <w:r>
        <w:rPr>
          <w:rFonts w:hint="eastAsia"/>
          <w:szCs w:val="32"/>
        </w:rPr>
        <w:t>到</w:t>
      </w:r>
      <w:r>
        <w:rPr>
          <w:szCs w:val="32"/>
        </w:rPr>
        <w:t>2030</w:t>
      </w:r>
      <w:r>
        <w:rPr>
          <w:rFonts w:hint="eastAsia"/>
          <w:szCs w:val="32"/>
        </w:rPr>
        <w:t>年，全区</w:t>
      </w:r>
      <w:r>
        <w:rPr>
          <w:rFonts w:hint="eastAsia" w:ascii="仿宋_GB2312"/>
          <w:szCs w:val="32"/>
        </w:rPr>
        <w:t>“无废城市指数”达到</w:t>
      </w:r>
      <w:r>
        <w:rPr>
          <w:szCs w:val="32"/>
        </w:rPr>
        <w:t>90</w:t>
      </w:r>
      <w:r>
        <w:rPr>
          <w:rFonts w:hint="eastAsia"/>
          <w:szCs w:val="32"/>
        </w:rPr>
        <w:t>以上，“无废城市”建设达到国际领先水平，</w:t>
      </w:r>
      <w:r>
        <w:rPr>
          <w:szCs w:val="32"/>
        </w:rPr>
        <w:t xml:space="preserve"> </w:t>
      </w:r>
      <w:r>
        <w:rPr>
          <w:rFonts w:hint="eastAsia"/>
          <w:szCs w:val="32"/>
        </w:rPr>
        <w:t>固体废物基本零填埋，其中危险废物年填埋量达到市级要求，固体废物产生强度、循环利用水平居全国前列。到</w:t>
      </w:r>
      <w:r>
        <w:rPr>
          <w:szCs w:val="32"/>
        </w:rPr>
        <w:t>2035</w:t>
      </w:r>
      <w:r>
        <w:rPr>
          <w:rFonts w:hint="eastAsia"/>
          <w:szCs w:val="32"/>
        </w:rPr>
        <w:t>年，全区建成“无废城市”。</w:t>
      </w:r>
    </w:p>
    <w:p w14:paraId="60EF8680">
      <w:pPr>
        <w:pStyle w:val="2"/>
        <w:spacing w:line="520" w:lineRule="exact"/>
        <w:jc w:val="both"/>
        <w:rPr>
          <w:szCs w:val="32"/>
        </w:rPr>
      </w:pPr>
      <w:bookmarkStart w:id="58" w:name="_Toc77150293"/>
      <w:bookmarkStart w:id="59" w:name="_Toc102658574"/>
      <w:bookmarkStart w:id="60" w:name="_Toc81173967"/>
      <w:bookmarkStart w:id="61" w:name="_Toc214980711"/>
      <w:bookmarkStart w:id="62" w:name="_Toc77148474"/>
      <w:bookmarkStart w:id="63" w:name="_Toc81347768"/>
      <w:bookmarkStart w:id="64" w:name="_Toc14977"/>
      <w:r>
        <w:rPr>
          <w:rFonts w:hint="eastAsia"/>
          <w:szCs w:val="32"/>
        </w:rPr>
        <w:t>四</w:t>
      </w:r>
      <w:r>
        <w:rPr>
          <w:szCs w:val="32"/>
        </w:rPr>
        <w:t>、</w:t>
      </w:r>
      <w:r>
        <w:rPr>
          <w:rFonts w:hint="eastAsia"/>
          <w:szCs w:val="32"/>
        </w:rPr>
        <w:t>重点任务</w:t>
      </w:r>
      <w:bookmarkEnd w:id="58"/>
      <w:bookmarkEnd w:id="59"/>
      <w:bookmarkEnd w:id="60"/>
      <w:bookmarkEnd w:id="61"/>
      <w:bookmarkEnd w:id="62"/>
      <w:bookmarkEnd w:id="63"/>
      <w:bookmarkEnd w:id="64"/>
    </w:p>
    <w:p w14:paraId="7908F80C">
      <w:pPr>
        <w:pStyle w:val="3"/>
        <w:spacing w:line="520" w:lineRule="exact"/>
        <w:rPr>
          <w:rFonts w:ascii="仿宋_GB2312" w:eastAsia="仿宋_GB2312"/>
          <w:b/>
        </w:rPr>
      </w:pPr>
      <w:bookmarkStart w:id="65" w:name="_Toc215060214"/>
      <w:bookmarkStart w:id="66" w:name="_Toc21908"/>
      <w:bookmarkStart w:id="67" w:name="OLE_LINK2"/>
      <w:bookmarkStart w:id="68" w:name="OLE_LINK1"/>
      <w:bookmarkStart w:id="69" w:name="_Toc79736875"/>
      <w:bookmarkStart w:id="70" w:name="_Toc81347769"/>
      <w:r>
        <w:rPr>
          <w:rFonts w:hint="eastAsia" w:ascii="仿宋_GB2312" w:eastAsia="仿宋_GB2312"/>
          <w:b/>
        </w:rPr>
        <w:t>（一）强化工业固体废物源头减量和高效利用</w:t>
      </w:r>
      <w:bookmarkEnd w:id="65"/>
      <w:bookmarkEnd w:id="66"/>
    </w:p>
    <w:p w14:paraId="6820DB58">
      <w:pPr>
        <w:pStyle w:val="4"/>
        <w:spacing w:line="520" w:lineRule="exact"/>
        <w:ind w:firstLine="643" w:firstLineChars="200"/>
      </w:pPr>
      <w:bookmarkStart w:id="71" w:name="_Toc215060215"/>
      <w:bookmarkStart w:id="72" w:name="_Toc2873"/>
      <w:bookmarkStart w:id="73" w:name="_Toc102658582"/>
      <w:bookmarkStart w:id="74" w:name="_Toc81434468"/>
      <w:r>
        <w:t>1.</w:t>
      </w:r>
      <w:r>
        <w:rPr>
          <w:rFonts w:hint="eastAsia"/>
        </w:rPr>
        <w:t>加快绿色发展，推动工业固体废物源头减量</w:t>
      </w:r>
      <w:bookmarkEnd w:id="71"/>
      <w:bookmarkEnd w:id="72"/>
    </w:p>
    <w:p w14:paraId="37ED38A9">
      <w:pPr>
        <w:spacing w:line="520" w:lineRule="exact"/>
        <w:ind w:firstLine="640"/>
        <w:rPr>
          <w:szCs w:val="32"/>
        </w:rPr>
      </w:pPr>
      <w:r>
        <w:rPr>
          <w:rFonts w:hint="eastAsia"/>
          <w:szCs w:val="32"/>
        </w:rPr>
        <w:t>（</w:t>
      </w:r>
      <w:r>
        <w:rPr>
          <w:szCs w:val="32"/>
        </w:rPr>
        <w:t>1</w:t>
      </w:r>
      <w:r>
        <w:rPr>
          <w:rFonts w:hint="eastAsia"/>
          <w:szCs w:val="32"/>
        </w:rPr>
        <w:t>）加强政策引导。加强建设项目环境影响评价管理，环境影响评价文件应明确工业固体废物环境管理要求、产生强度及利用处置情况。将一般工业固体废物产生量降低情况纳入清洁生产评价指标体系和美丽工厂指标体系。</w:t>
      </w:r>
      <w:r>
        <w:rPr>
          <w:rStyle w:val="130"/>
          <w:rFonts w:hint="eastAsia"/>
          <w:szCs w:val="32"/>
        </w:rPr>
        <w:t>鼓励</w:t>
      </w:r>
      <w:r>
        <w:rPr>
          <w:rFonts w:hint="eastAsia"/>
          <w:szCs w:val="32"/>
          <w:lang w:bidi="ar"/>
        </w:rPr>
        <w:t>高产生强度企业进行能源替代、技改升级，推动</w:t>
      </w:r>
      <w:r>
        <w:rPr>
          <w:rFonts w:hint="eastAsia"/>
          <w:szCs w:val="32"/>
        </w:rPr>
        <w:t>一般工业固体废物产生强度</w:t>
      </w:r>
      <w:r>
        <w:rPr>
          <w:rFonts w:hint="eastAsia"/>
          <w:szCs w:val="32"/>
          <w:lang w:bidi="ar"/>
        </w:rPr>
        <w:t>逐步降低</w:t>
      </w:r>
      <w:r>
        <w:rPr>
          <w:rFonts w:hint="eastAsia"/>
          <w:szCs w:val="32"/>
        </w:rPr>
        <w:t>。</w:t>
      </w:r>
      <w:r>
        <w:rPr>
          <w:rFonts w:hint="eastAsia" w:ascii="楷体_GB2312" w:eastAsia="楷体_GB2312"/>
          <w:szCs w:val="32"/>
        </w:rPr>
        <w:t>（区生态环境局、区发改委、中关村朝阳园管委会（区科信局）、区财政局等按职责分工负责）</w:t>
      </w:r>
    </w:p>
    <w:p w14:paraId="4DE64AC9">
      <w:pPr>
        <w:spacing w:line="520" w:lineRule="exact"/>
        <w:ind w:firstLine="640"/>
        <w:rPr>
          <w:szCs w:val="32"/>
        </w:rPr>
      </w:pPr>
      <w:r>
        <w:rPr>
          <w:rFonts w:hint="eastAsia"/>
          <w:szCs w:val="32"/>
          <w:lang w:bidi="ar"/>
        </w:rPr>
        <w:t>（</w:t>
      </w:r>
      <w:r>
        <w:rPr>
          <w:szCs w:val="32"/>
          <w:lang w:bidi="ar"/>
        </w:rPr>
        <w:t>2</w:t>
      </w:r>
      <w:r>
        <w:rPr>
          <w:rFonts w:hint="eastAsia"/>
          <w:szCs w:val="32"/>
          <w:lang w:bidi="ar"/>
        </w:rPr>
        <w:t>）</w:t>
      </w:r>
      <w:r>
        <w:rPr>
          <w:rFonts w:hint="eastAsia"/>
          <w:szCs w:val="32"/>
        </w:rPr>
        <w:t>推动工业企业“含绿量”提升。</w:t>
      </w:r>
      <w:r>
        <w:rPr>
          <w:rStyle w:val="130"/>
          <w:rFonts w:hint="eastAsia"/>
          <w:szCs w:val="32"/>
        </w:rPr>
        <w:t>按照“应绿尽绿”的原则，</w:t>
      </w:r>
      <w:r>
        <w:rPr>
          <w:rFonts w:hint="eastAsia"/>
        </w:rPr>
        <w:t>引导企业积极开展绿色评价、绩效提级等工作。</w:t>
      </w:r>
      <w:r>
        <w:rPr>
          <w:rStyle w:val="130"/>
          <w:rFonts w:hint="eastAsia"/>
          <w:szCs w:val="32"/>
        </w:rPr>
        <w:t>持续推进绿色制造相关工作，推动绿色诊断，推广先进技术。</w:t>
      </w:r>
      <w:r>
        <w:rPr>
          <w:rFonts w:hint="eastAsia"/>
          <w:szCs w:val="32"/>
          <w:lang w:bidi="ar"/>
        </w:rPr>
        <w:t>强化清洁生产审核，实施强制性清洁生产审核攻坚行动。</w:t>
      </w:r>
      <w:r>
        <w:rPr>
          <w:rFonts w:hint="eastAsia"/>
          <w:szCs w:val="32"/>
        </w:rPr>
        <w:t>到</w:t>
      </w:r>
      <w:r>
        <w:rPr>
          <w:szCs w:val="32"/>
        </w:rPr>
        <w:t>2027</w:t>
      </w:r>
      <w:r>
        <w:rPr>
          <w:rFonts w:hint="eastAsia"/>
          <w:szCs w:val="32"/>
        </w:rPr>
        <w:t>年，通过清洁生产审核评估工业企业占比达</w:t>
      </w:r>
      <w:r>
        <w:rPr>
          <w:rFonts w:hint="eastAsia"/>
          <w:szCs w:val="32"/>
          <w:lang w:val="en-US" w:eastAsia="zh-CN"/>
        </w:rPr>
        <w:t>X</w:t>
      </w:r>
      <w:r>
        <w:rPr>
          <w:szCs w:val="32"/>
        </w:rPr>
        <w:t>%</w:t>
      </w:r>
      <w:r>
        <w:rPr>
          <w:rFonts w:hint="eastAsia"/>
          <w:szCs w:val="32"/>
        </w:rPr>
        <w:t>，到</w:t>
      </w:r>
      <w:r>
        <w:rPr>
          <w:szCs w:val="32"/>
        </w:rPr>
        <w:t>2030</w:t>
      </w:r>
      <w:r>
        <w:rPr>
          <w:rFonts w:hint="eastAsia"/>
          <w:szCs w:val="32"/>
        </w:rPr>
        <w:t>年，通过清洁生产审核评估工业企业占比达</w:t>
      </w:r>
      <w:r>
        <w:rPr>
          <w:rFonts w:hint="eastAsia"/>
          <w:szCs w:val="32"/>
          <w:lang w:val="en-US" w:eastAsia="zh-CN"/>
        </w:rPr>
        <w:t>X</w:t>
      </w:r>
      <w:r>
        <w:rPr>
          <w:szCs w:val="32"/>
        </w:rPr>
        <w:t>%</w:t>
      </w:r>
      <w:r>
        <w:rPr>
          <w:rFonts w:hint="eastAsia"/>
          <w:szCs w:val="32"/>
        </w:rPr>
        <w:t>。</w:t>
      </w:r>
      <w:r>
        <w:rPr>
          <w:rFonts w:hint="eastAsia" w:ascii="楷体_GB2312" w:eastAsia="楷体_GB2312"/>
          <w:szCs w:val="32"/>
        </w:rPr>
        <w:t>（区生态环境局、中关村朝阳园管委会（区科信局）等</w:t>
      </w:r>
      <w:r>
        <w:rPr>
          <w:rFonts w:hint="eastAsia" w:ascii="楷体_GB2312" w:eastAsia="楷体_GB2312"/>
        </w:rPr>
        <w:t>按职责分工</w:t>
      </w:r>
      <w:r>
        <w:rPr>
          <w:rFonts w:hint="eastAsia" w:ascii="楷体_GB2312" w:eastAsia="楷体_GB2312"/>
          <w:szCs w:val="32"/>
        </w:rPr>
        <w:t>负责）</w:t>
      </w:r>
    </w:p>
    <w:p w14:paraId="3C017163">
      <w:pPr>
        <w:spacing w:line="520" w:lineRule="exact"/>
        <w:ind w:firstLine="640"/>
        <w:rPr>
          <w:rFonts w:ascii="楷体_GB2312" w:eastAsia="楷体_GB2312"/>
          <w:szCs w:val="32"/>
        </w:rPr>
      </w:pPr>
      <w:r>
        <w:rPr>
          <w:rFonts w:hint="eastAsia"/>
          <w:szCs w:val="32"/>
        </w:rPr>
        <w:t>（</w:t>
      </w:r>
      <w:r>
        <w:rPr>
          <w:szCs w:val="32"/>
        </w:rPr>
        <w:t>3</w:t>
      </w:r>
      <w:r>
        <w:rPr>
          <w:rFonts w:hint="eastAsia"/>
          <w:szCs w:val="32"/>
        </w:rPr>
        <w:t>）</w:t>
      </w:r>
      <w:bookmarkStart w:id="75" w:name="OLE_LINK34"/>
      <w:bookmarkStart w:id="76" w:name="OLE_LINK35"/>
      <w:bookmarkStart w:id="77" w:name="OLE_LINK98"/>
      <w:r>
        <w:rPr>
          <w:rFonts w:hint="eastAsia"/>
          <w:szCs w:val="32"/>
          <w:lang w:bidi="ar"/>
        </w:rPr>
        <w:t>推进重点领域减污降碳协同增效</w:t>
      </w:r>
      <w:bookmarkEnd w:id="75"/>
      <w:bookmarkEnd w:id="76"/>
      <w:bookmarkEnd w:id="77"/>
      <w:r>
        <w:rPr>
          <w:rFonts w:hint="eastAsia"/>
          <w:szCs w:val="32"/>
          <w:lang w:bidi="ar"/>
        </w:rPr>
        <w:t>。</w:t>
      </w:r>
      <w:r>
        <w:rPr>
          <w:rFonts w:hint="eastAsia"/>
          <w:szCs w:val="32"/>
        </w:rPr>
        <w:t>优化热源结构，降低供热领域固体废物产生量。挖掘地热能、太阳能光伏等可再生能源潜力</w:t>
      </w:r>
      <w:r>
        <w:rPr>
          <w:rFonts w:hint="eastAsia"/>
          <w:szCs w:val="32"/>
          <w:lang w:val="en-GB"/>
        </w:rPr>
        <w:t>。进一步优化既有集中供热体系，加强可再生能源供热与既有传统供热系统的协调对接，逐步建立以可再生能源为基础负荷、以传统化石能源为调峰保障的绿色低碳热源结构。</w:t>
      </w:r>
      <w:r>
        <w:rPr>
          <w:rFonts w:hint="eastAsia"/>
          <w:szCs w:val="32"/>
        </w:rPr>
        <w:t>到</w:t>
      </w:r>
      <w:r>
        <w:rPr>
          <w:szCs w:val="32"/>
        </w:rPr>
        <w:t>2027</w:t>
      </w:r>
      <w:r>
        <w:rPr>
          <w:rFonts w:hint="eastAsia"/>
          <w:szCs w:val="32"/>
        </w:rPr>
        <w:t>年，非化石能源消费量占全区能源消费量达</w:t>
      </w:r>
      <w:r>
        <w:rPr>
          <w:rFonts w:hint="eastAsia"/>
          <w:szCs w:val="32"/>
          <w:lang w:val="en-US" w:eastAsia="zh-CN"/>
        </w:rPr>
        <w:t>X</w:t>
      </w:r>
      <w:r>
        <w:rPr>
          <w:szCs w:val="32"/>
        </w:rPr>
        <w:t>%</w:t>
      </w:r>
      <w:r>
        <w:rPr>
          <w:rFonts w:hint="eastAsia"/>
          <w:szCs w:val="32"/>
        </w:rPr>
        <w:t>，到</w:t>
      </w:r>
      <w:r>
        <w:rPr>
          <w:szCs w:val="32"/>
        </w:rPr>
        <w:t>2030</w:t>
      </w:r>
      <w:r>
        <w:rPr>
          <w:rFonts w:hint="eastAsia"/>
          <w:szCs w:val="32"/>
        </w:rPr>
        <w:t>年，非化石能源消费量占比达</w:t>
      </w:r>
      <w:r>
        <w:rPr>
          <w:rFonts w:hint="eastAsia"/>
          <w:szCs w:val="32"/>
          <w:lang w:val="en-US" w:eastAsia="zh-CN"/>
        </w:rPr>
        <w:t>X</w:t>
      </w:r>
      <w:r>
        <w:rPr>
          <w:szCs w:val="32"/>
        </w:rPr>
        <w:t>%</w:t>
      </w:r>
      <w:r>
        <w:rPr>
          <w:rFonts w:hint="eastAsia"/>
          <w:szCs w:val="32"/>
        </w:rPr>
        <w:t>。</w:t>
      </w:r>
      <w:r>
        <w:rPr>
          <w:rFonts w:hint="eastAsia" w:ascii="楷体_GB2312" w:eastAsia="楷体_GB2312"/>
          <w:szCs w:val="32"/>
        </w:rPr>
        <w:t>（区生态环境局、区发改委、区城管委等按职责分工负责）</w:t>
      </w:r>
    </w:p>
    <w:p w14:paraId="0C6728D4">
      <w:pPr>
        <w:pStyle w:val="4"/>
        <w:spacing w:line="520" w:lineRule="exact"/>
        <w:ind w:firstLine="643" w:firstLineChars="200"/>
      </w:pPr>
      <w:bookmarkStart w:id="78" w:name="_Toc109558464"/>
      <w:bookmarkStart w:id="79" w:name="_Toc81434466"/>
      <w:bookmarkStart w:id="80" w:name="_Toc102658579"/>
      <w:bookmarkStart w:id="81" w:name="_Toc215060216"/>
      <w:bookmarkStart w:id="82" w:name="_Toc3868"/>
      <w:r>
        <w:t>2.</w:t>
      </w:r>
      <w:r>
        <w:rPr>
          <w:rFonts w:hint="eastAsia"/>
        </w:rPr>
        <w:t>聚焦关键种类，推动工业固体废物</w:t>
      </w:r>
      <w:bookmarkEnd w:id="78"/>
      <w:bookmarkEnd w:id="79"/>
      <w:bookmarkEnd w:id="80"/>
      <w:r>
        <w:rPr>
          <w:rFonts w:hint="eastAsia"/>
        </w:rPr>
        <w:t>高效利用</w:t>
      </w:r>
      <w:bookmarkEnd w:id="81"/>
      <w:bookmarkEnd w:id="82"/>
    </w:p>
    <w:p w14:paraId="6C96074F">
      <w:pPr>
        <w:spacing w:line="520" w:lineRule="exact"/>
        <w:ind w:firstLine="640"/>
        <w:rPr>
          <w:szCs w:val="32"/>
        </w:rPr>
      </w:pPr>
      <w:r>
        <w:rPr>
          <w:rFonts w:hint="eastAsia" w:cstheme="minorBidi"/>
          <w:szCs w:val="32"/>
        </w:rPr>
        <w:t>（</w:t>
      </w:r>
      <w:r>
        <w:rPr>
          <w:rFonts w:cstheme="minorBidi"/>
          <w:szCs w:val="32"/>
        </w:rPr>
        <w:t>1</w:t>
      </w:r>
      <w:r>
        <w:rPr>
          <w:rFonts w:hint="eastAsia" w:cstheme="minorBidi"/>
          <w:szCs w:val="32"/>
        </w:rPr>
        <w:t>）推动典型工业固体废物全量利用。</w:t>
      </w:r>
      <w:bookmarkStart w:id="83" w:name="OLE_LINK57"/>
      <w:r>
        <w:rPr>
          <w:rFonts w:hint="eastAsia"/>
          <w:szCs w:val="32"/>
        </w:rPr>
        <w:t>持续推进焚烧炉渣全量利用。</w:t>
      </w:r>
      <w:bookmarkEnd w:id="83"/>
      <w:r>
        <w:rPr>
          <w:rFonts w:hint="eastAsia"/>
          <w:szCs w:val="32"/>
        </w:rPr>
        <w:t>畅通粉煤灰、脱硫石膏等综合利用渠道。</w:t>
      </w:r>
      <w:r>
        <w:rPr>
          <w:rFonts w:hint="eastAsia"/>
        </w:rPr>
        <w:t>推动做好制药、印刷等重点行业企业可再生类废物分类收集、贮存、利用。到</w:t>
      </w:r>
      <w:r>
        <w:t>2027</w:t>
      </w:r>
      <w:r>
        <w:rPr>
          <w:rFonts w:hint="eastAsia"/>
        </w:rPr>
        <w:t>年，一般工业固体废物综合利用率维持</w:t>
      </w:r>
      <w:r>
        <w:rPr>
          <w:rFonts w:hint="eastAsia"/>
          <w:lang w:val="en-US" w:eastAsia="zh-CN"/>
        </w:rPr>
        <w:t>X</w:t>
      </w:r>
      <w:r>
        <w:t>%</w:t>
      </w:r>
      <w:r>
        <w:rPr>
          <w:rFonts w:hint="eastAsia"/>
        </w:rPr>
        <w:t>，到</w:t>
      </w:r>
      <w:r>
        <w:t>2030</w:t>
      </w:r>
      <w:r>
        <w:rPr>
          <w:rFonts w:hint="eastAsia"/>
        </w:rPr>
        <w:t>年，一般工业固体废物综合利用率达</w:t>
      </w:r>
      <w:r>
        <w:rPr>
          <w:rFonts w:hint="eastAsia"/>
          <w:lang w:val="en-US" w:eastAsia="zh-CN"/>
        </w:rPr>
        <w:t>X</w:t>
      </w:r>
      <w:r>
        <w:t>%</w:t>
      </w:r>
      <w:r>
        <w:rPr>
          <w:rFonts w:hint="eastAsia"/>
        </w:rPr>
        <w:t>。</w:t>
      </w:r>
      <w:r>
        <w:rPr>
          <w:rFonts w:hint="eastAsia" w:ascii="楷体_GB2312" w:eastAsia="楷体_GB2312"/>
          <w:szCs w:val="32"/>
        </w:rPr>
        <w:t>（区生态环境局、中关村朝阳园管委会（区科信局）等按职责分工负责）</w:t>
      </w:r>
    </w:p>
    <w:p w14:paraId="52A347AD">
      <w:pPr>
        <w:spacing w:line="520" w:lineRule="exact"/>
        <w:ind w:firstLine="640"/>
        <w:rPr>
          <w:rFonts w:ascii="楷体_GB2312" w:eastAsia="楷体_GB2312"/>
          <w:szCs w:val="32"/>
        </w:rPr>
      </w:pPr>
      <w:r>
        <w:rPr>
          <w:rFonts w:hint="eastAsia" w:cstheme="minorBidi"/>
          <w:szCs w:val="32"/>
        </w:rPr>
        <w:t>（</w:t>
      </w:r>
      <w:r>
        <w:rPr>
          <w:rFonts w:cstheme="minorBidi"/>
          <w:szCs w:val="32"/>
        </w:rPr>
        <w:t>2</w:t>
      </w:r>
      <w:r>
        <w:rPr>
          <w:rFonts w:hint="eastAsia" w:cstheme="minorBidi"/>
          <w:szCs w:val="32"/>
        </w:rPr>
        <w:t>）提高新兴固体废物回收利用能力。</w:t>
      </w:r>
      <w:bookmarkStart w:id="84" w:name="OLE_LINK58"/>
      <w:r>
        <w:rPr>
          <w:rFonts w:hint="eastAsia" w:cstheme="minorBidi"/>
          <w:szCs w:val="32"/>
        </w:rPr>
        <w:t>聚焦废动力电池、废光伏组件及风机叶片等新兴固体废物，推动规范回收，鼓励资源化利用技术研发、成果转化</w:t>
      </w:r>
      <w:r>
        <w:rPr>
          <w:rFonts w:hint="eastAsia" w:cstheme="minorBidi"/>
          <w:szCs w:val="32"/>
          <w:lang w:eastAsia="zh-CN"/>
        </w:rPr>
        <w:t>。</w:t>
      </w:r>
      <w:r>
        <w:rPr>
          <w:rFonts w:hint="eastAsia" w:cstheme="minorBidi"/>
          <w:szCs w:val="32"/>
        </w:rPr>
        <w:t>积极探索完善动力电池收集转运体系。</w:t>
      </w:r>
      <w:bookmarkEnd w:id="84"/>
      <w:r>
        <w:rPr>
          <w:rFonts w:hint="eastAsia" w:ascii="楷体_GB2312" w:eastAsia="楷体_GB2312"/>
          <w:szCs w:val="32"/>
        </w:rPr>
        <w:t>（中关村朝阳园管委会（区科信局）、区发改委等按职责分工负责）</w:t>
      </w:r>
    </w:p>
    <w:p w14:paraId="5D0199ED">
      <w:pPr>
        <w:pStyle w:val="4"/>
        <w:spacing w:line="520" w:lineRule="exact"/>
        <w:ind w:firstLine="643" w:firstLineChars="200"/>
      </w:pPr>
      <w:bookmarkStart w:id="85" w:name="_Toc215060217"/>
      <w:bookmarkStart w:id="86" w:name="_Toc10416"/>
      <w:r>
        <w:t>3.</w:t>
      </w:r>
      <w:r>
        <w:rPr>
          <w:rFonts w:hint="eastAsia"/>
        </w:rPr>
        <w:t>完善监管制度，提升工业固体废物管理水平</w:t>
      </w:r>
      <w:bookmarkEnd w:id="85"/>
      <w:bookmarkEnd w:id="86"/>
    </w:p>
    <w:p w14:paraId="217B1063">
      <w:pPr>
        <w:spacing w:line="520" w:lineRule="exact"/>
        <w:ind w:firstLine="640"/>
        <w:rPr>
          <w:bCs/>
          <w:szCs w:val="32"/>
        </w:rPr>
      </w:pPr>
      <w:r>
        <w:rPr>
          <w:rFonts w:hint="eastAsia"/>
          <w:bCs/>
          <w:szCs w:val="32"/>
        </w:rPr>
        <w:t>（</w:t>
      </w:r>
      <w:r>
        <w:rPr>
          <w:bCs/>
          <w:szCs w:val="32"/>
        </w:rPr>
        <w:t>1</w:t>
      </w:r>
      <w:r>
        <w:rPr>
          <w:rFonts w:hint="eastAsia"/>
          <w:bCs/>
          <w:szCs w:val="32"/>
        </w:rPr>
        <w:t>）</w:t>
      </w:r>
      <w:bookmarkEnd w:id="73"/>
      <w:bookmarkEnd w:id="74"/>
      <w:bookmarkStart w:id="87" w:name="_Toc102658592"/>
      <w:bookmarkStart w:id="88" w:name="_Toc81434478"/>
      <w:bookmarkStart w:id="89" w:name="_Toc81198078"/>
      <w:r>
        <w:rPr>
          <w:rFonts w:hint="eastAsia"/>
          <w:bCs/>
          <w:szCs w:val="32"/>
        </w:rPr>
        <w:t>加强精准化、清单化管理。推动环境统计和排污许可管理有效衔接，形成管理合力。建立固体废物管理企业台账，</w:t>
      </w:r>
      <w:r>
        <w:rPr>
          <w:rFonts w:hint="eastAsia"/>
        </w:rPr>
        <w:t>实现</w:t>
      </w:r>
      <w:r>
        <w:rPr>
          <w:rFonts w:hint="eastAsia" w:ascii="仿宋_GB2312"/>
        </w:rPr>
        <w:t>“一企一档”，</w:t>
      </w:r>
      <w:r>
        <w:rPr>
          <w:rFonts w:hint="eastAsia"/>
        </w:rPr>
        <w:t>动态更新。</w:t>
      </w:r>
      <w:bookmarkStart w:id="90" w:name="OLE_LINK59"/>
      <w:r>
        <w:rPr>
          <w:rFonts w:hint="eastAsia"/>
          <w:bCs/>
          <w:szCs w:val="32"/>
        </w:rPr>
        <w:t>定期开展政策培训，指导产废单位进行固体废物申报及排污许可系统信息填报工作。</w:t>
      </w:r>
      <w:bookmarkEnd w:id="90"/>
      <w:r>
        <w:rPr>
          <w:rFonts w:hint="eastAsia"/>
          <w:bCs/>
          <w:szCs w:val="32"/>
        </w:rPr>
        <w:t>督促产废单位规范贮存、转移管理，深化管理台账制度，鼓励优先使用电子台账，强化全链条跟踪管理。</w:t>
      </w:r>
      <w:bookmarkStart w:id="91" w:name="OLE_LINK60"/>
      <w:r>
        <w:rPr>
          <w:rFonts w:hint="eastAsia"/>
          <w:bCs/>
          <w:szCs w:val="32"/>
        </w:rPr>
        <w:t>到</w:t>
      </w:r>
      <w:r>
        <w:rPr>
          <w:bCs/>
          <w:szCs w:val="32"/>
        </w:rPr>
        <w:t>2027</w:t>
      </w:r>
      <w:r>
        <w:rPr>
          <w:rFonts w:hint="eastAsia"/>
          <w:bCs/>
          <w:szCs w:val="32"/>
        </w:rPr>
        <w:t>年，年产废量超过</w:t>
      </w:r>
      <w:r>
        <w:rPr>
          <w:bCs/>
          <w:szCs w:val="32"/>
        </w:rPr>
        <w:t>1000</w:t>
      </w:r>
      <w:r>
        <w:rPr>
          <w:rFonts w:hint="eastAsia"/>
          <w:bCs/>
          <w:szCs w:val="32"/>
        </w:rPr>
        <w:t>吨的工业企业全面实现电子台账。</w:t>
      </w:r>
      <w:bookmarkEnd w:id="91"/>
      <w:r>
        <w:rPr>
          <w:rFonts w:hint="eastAsia" w:ascii="楷体_GB2312" w:eastAsia="楷体_GB2312"/>
          <w:szCs w:val="32"/>
        </w:rPr>
        <w:t>（区生态环境局负责）</w:t>
      </w:r>
    </w:p>
    <w:p w14:paraId="4124DFDA">
      <w:pPr>
        <w:spacing w:line="520" w:lineRule="exact"/>
        <w:ind w:firstLine="640"/>
        <w:rPr>
          <w:rFonts w:ascii="楷体_GB2312" w:eastAsia="楷体_GB2312"/>
          <w:szCs w:val="32"/>
        </w:rPr>
      </w:pPr>
      <w:r>
        <w:rPr>
          <w:rFonts w:hint="eastAsia"/>
          <w:bCs/>
          <w:szCs w:val="32"/>
        </w:rPr>
        <w:t>（</w:t>
      </w:r>
      <w:r>
        <w:rPr>
          <w:bCs/>
          <w:szCs w:val="32"/>
        </w:rPr>
        <w:t>2</w:t>
      </w:r>
      <w:r>
        <w:rPr>
          <w:rFonts w:hint="eastAsia"/>
          <w:bCs/>
          <w:szCs w:val="32"/>
        </w:rPr>
        <w:t>）深化绿色低碳转型指引。充分发挥绿色发展指引清单的引领作用，指导具备条件的汽修、热力生产与供应、搅拌站、加油站等行业企业按照绿色发展提升路径进行提标改造。深化清单指引模式，扩大指引服务范围，探索制定制药等重点行业工业企业的绿色发展指引清单。</w:t>
      </w:r>
      <w:r>
        <w:rPr>
          <w:rFonts w:hint="eastAsia" w:ascii="楷体_GB2312" w:eastAsia="楷体_GB2312"/>
          <w:szCs w:val="32"/>
        </w:rPr>
        <w:t>（区生态环境局负责）</w:t>
      </w:r>
    </w:p>
    <w:p w14:paraId="69896290">
      <w:pPr>
        <w:spacing w:line="520" w:lineRule="exact"/>
        <w:ind w:firstLine="304" w:firstLineChars="95"/>
        <w:rPr>
          <w:rFonts w:ascii="楷体_GB2312" w:eastAsia="楷体_GB2312"/>
          <w:szCs w:val="32"/>
        </w:rPr>
      </w:pPr>
      <w:r>
        <w:rPr>
          <w:rFonts w:hint="eastAsia"/>
          <w:bCs/>
          <w:szCs w:val="32"/>
        </w:rPr>
        <w:t>（</w:t>
      </w:r>
      <w:r>
        <w:rPr>
          <w:bCs/>
          <w:szCs w:val="32"/>
        </w:rPr>
        <w:t>3</w:t>
      </w:r>
      <w:r>
        <w:rPr>
          <w:rFonts w:hint="eastAsia"/>
          <w:bCs/>
          <w:szCs w:val="32"/>
        </w:rPr>
        <w:t>）开展排查治理。压实企业主体责任，推动建设符合有关标准规范要求的贮存设施，并按要求进行分类分区贮存，避免混堆混放。开展覆盖一般工业固体废物</w:t>
      </w:r>
      <w:r>
        <w:rPr>
          <w:rFonts w:hint="eastAsia" w:ascii="宋体" w:hAnsi="宋体" w:cs="宋体"/>
          <w:kern w:val="0"/>
          <w:szCs w:val="21"/>
        </w:rPr>
        <w:t>、危险废物、生活垃圾、建筑垃圾、市政污泥等固体废物排查</w:t>
      </w:r>
      <w:r>
        <w:rPr>
          <w:rFonts w:ascii="宋体" w:hAnsi="宋体" w:cs="宋体"/>
          <w:kern w:val="0"/>
          <w:szCs w:val="21"/>
        </w:rPr>
        <w:t>整治，</w:t>
      </w:r>
      <w:r>
        <w:rPr>
          <w:rFonts w:hint="eastAsia" w:ascii="宋体" w:hAnsi="宋体" w:cs="宋体"/>
          <w:kern w:val="0"/>
          <w:szCs w:val="21"/>
        </w:rPr>
        <w:t>依法及时查处违法行为，</w:t>
      </w:r>
      <w:r>
        <w:rPr>
          <w:rFonts w:hint="eastAsia"/>
          <w:bCs/>
          <w:szCs w:val="32"/>
        </w:rPr>
        <w:t>摸排非正规固体废物堆存场所情况，</w:t>
      </w:r>
      <w:r>
        <w:rPr>
          <w:rFonts w:hint="eastAsia" w:ascii="宋体" w:hAnsi="宋体" w:cs="宋体"/>
          <w:kern w:val="0"/>
          <w:szCs w:val="21"/>
        </w:rPr>
        <w:t>指导督促责任主体制定整改方案并落实整改</w:t>
      </w:r>
      <w:r>
        <w:rPr>
          <w:rFonts w:hint="eastAsia"/>
          <w:bCs/>
          <w:szCs w:val="32"/>
        </w:rPr>
        <w:t>。</w:t>
      </w:r>
      <w:r>
        <w:rPr>
          <w:rFonts w:hint="eastAsia" w:ascii="楷体_GB2312" w:eastAsia="楷体_GB2312"/>
          <w:szCs w:val="32"/>
        </w:rPr>
        <w:t>（区生态环境、市公安局朝阳分局、市规划自然资源委朝阳分局、区住建委、区城管委、区水务局、区园林绿化局等按职责分工负责）</w:t>
      </w:r>
    </w:p>
    <w:p w14:paraId="0D6990F5">
      <w:pPr>
        <w:widowControl/>
        <w:adjustRightInd/>
        <w:snapToGrid/>
        <w:spacing w:line="240" w:lineRule="auto"/>
        <w:ind w:firstLine="0" w:firstLineChars="0"/>
        <w:jc w:val="left"/>
        <w:rPr>
          <w:rFonts w:ascii="仿宋_GB2312" w:cstheme="majorBidi"/>
          <w:b/>
          <w:bCs/>
          <w:szCs w:val="32"/>
        </w:rPr>
      </w:pPr>
      <w:bookmarkStart w:id="92" w:name="_Toc215060222"/>
      <w:r>
        <w:rPr>
          <w:rFonts w:ascii="仿宋_GB2312"/>
          <w:b/>
        </w:rPr>
        <w:br w:type="page"/>
      </w:r>
    </w:p>
    <w:p w14:paraId="27A4083A">
      <w:pPr>
        <w:pStyle w:val="3"/>
        <w:spacing w:line="520" w:lineRule="exact"/>
        <w:rPr>
          <w:rFonts w:ascii="仿宋_GB2312" w:eastAsia="仿宋_GB2312"/>
          <w:b/>
        </w:rPr>
      </w:pPr>
      <w:bookmarkStart w:id="93" w:name="_Toc28974"/>
      <w:r>
        <w:rPr>
          <w:rFonts w:hint="eastAsia" w:ascii="仿宋_GB2312" w:eastAsia="仿宋_GB2312"/>
          <w:b/>
        </w:rPr>
        <w:t>（二）提升生活垃圾管理实效</w:t>
      </w:r>
      <w:bookmarkEnd w:id="92"/>
      <w:bookmarkEnd w:id="93"/>
    </w:p>
    <w:bookmarkEnd w:id="87"/>
    <w:bookmarkEnd w:id="88"/>
    <w:bookmarkEnd w:id="89"/>
    <w:p w14:paraId="5ADC6921">
      <w:pPr>
        <w:pStyle w:val="4"/>
        <w:spacing w:line="520" w:lineRule="exact"/>
        <w:ind w:firstLine="643" w:firstLineChars="200"/>
      </w:pPr>
      <w:bookmarkStart w:id="94" w:name="_Toc102658588"/>
      <w:bookmarkStart w:id="95" w:name="_Toc215060223"/>
      <w:bookmarkStart w:id="96" w:name="_Toc81434474"/>
      <w:bookmarkStart w:id="97" w:name="_Toc204092161"/>
      <w:bookmarkStart w:id="98" w:name="_Toc2356"/>
      <w:r>
        <w:t>1.</w:t>
      </w:r>
      <w:r>
        <w:rPr>
          <w:rFonts w:hint="eastAsia"/>
        </w:rPr>
        <w:t>推广绿色生活方式，促进生活源固体废物源头减量</w:t>
      </w:r>
      <w:bookmarkEnd w:id="94"/>
      <w:bookmarkEnd w:id="95"/>
      <w:bookmarkEnd w:id="96"/>
      <w:bookmarkEnd w:id="97"/>
      <w:bookmarkEnd w:id="98"/>
    </w:p>
    <w:p w14:paraId="69672775">
      <w:pPr>
        <w:spacing w:line="520" w:lineRule="exact"/>
        <w:ind w:firstLine="640"/>
        <w:rPr>
          <w:szCs w:val="32"/>
        </w:rPr>
      </w:pPr>
      <w:r>
        <w:rPr>
          <w:rFonts w:hint="eastAsia"/>
          <w:szCs w:val="32"/>
        </w:rPr>
        <w:t>（</w:t>
      </w:r>
      <w:r>
        <w:rPr>
          <w:szCs w:val="32"/>
        </w:rPr>
        <w:t>1</w:t>
      </w:r>
      <w:r>
        <w:rPr>
          <w:rFonts w:hint="eastAsia"/>
          <w:szCs w:val="32"/>
        </w:rPr>
        <w:t>）倡导绿色低碳生活方式。倡导居民衣、食、住、行、游全领域绿色消费，支持共享经济，深化“光盘行动”，制止餐饮浪费。全面推行机关事业单位、公共机构和大型写字楼无纸化办公，鼓励绿色办公与信息共享。加快推进生产、销售、快递等企业绿色包装应用，减少二次包装，基本实现同城快递环境友好型包装材料全面应用。</w:t>
      </w:r>
      <w:bookmarkStart w:id="99" w:name="OLE_LINK26"/>
      <w:r>
        <w:rPr>
          <w:rFonts w:hint="eastAsia"/>
          <w:szCs w:val="32"/>
        </w:rPr>
        <w:t>鼓励“互联网＋二手”模式发展，</w:t>
      </w:r>
      <w:bookmarkEnd w:id="99"/>
      <w:r>
        <w:rPr>
          <w:rFonts w:hint="eastAsia"/>
          <w:szCs w:val="32"/>
        </w:rPr>
        <w:t>推广线上二手交易平台，探索设置线下旧货交易场所，促进二手物品流通。大力推进净菜上市措施，支持商贸流通企业提升“净菜”能力，引导与大型农业生产基地合作，促进餐厨垃圾源头减量。深化垃圾分类，提升居民参与主动性。（</w:t>
      </w:r>
      <w:r>
        <w:rPr>
          <w:rStyle w:val="110"/>
          <w:rFonts w:hint="eastAsia"/>
          <w:bCs/>
          <w:szCs w:val="32"/>
        </w:rPr>
        <w:t>区发改委、区机关事务管理服务中心、区教委、中关村</w:t>
      </w:r>
      <w:r>
        <w:rPr>
          <w:rFonts w:hint="eastAsia" w:ascii="楷体_GB2312" w:eastAsia="楷体_GB2312"/>
          <w:szCs w:val="32"/>
        </w:rPr>
        <w:t>朝阳园管委会（区科信局）</w:t>
      </w:r>
      <w:r>
        <w:rPr>
          <w:rStyle w:val="110"/>
          <w:rFonts w:hint="eastAsia"/>
          <w:bCs/>
          <w:szCs w:val="32"/>
        </w:rPr>
        <w:t>、区城管委、区商务局、区市场监督局、区环卫中心等按职责分工负责</w:t>
      </w:r>
      <w:r>
        <w:rPr>
          <w:rFonts w:hint="eastAsia"/>
          <w:szCs w:val="32"/>
        </w:rPr>
        <w:t>）</w:t>
      </w:r>
    </w:p>
    <w:p w14:paraId="54BA0731">
      <w:pPr>
        <w:spacing w:line="520" w:lineRule="exact"/>
        <w:ind w:firstLine="640"/>
        <w:rPr>
          <w:rStyle w:val="110"/>
          <w:bCs/>
          <w:szCs w:val="32"/>
        </w:rPr>
      </w:pPr>
      <w:r>
        <w:rPr>
          <w:rFonts w:hint="eastAsia" w:ascii="Times New Roman" w:eastAsia="仿宋_GB2312"/>
          <w:szCs w:val="32"/>
        </w:rPr>
        <w:t>（</w:t>
      </w:r>
      <w:r>
        <w:rPr>
          <w:szCs w:val="32"/>
        </w:rPr>
        <w:t>2</w:t>
      </w:r>
      <w:r>
        <w:rPr>
          <w:rFonts w:hint="eastAsia"/>
          <w:szCs w:val="32"/>
        </w:rPr>
        <w:t>）持续开展减塑行动。聚焦餐饮外卖平台、电商快递、住宿、会展等重点行业，深化塑料污染治理，推广塑料替代品。</w:t>
      </w:r>
      <w:r>
        <w:rPr>
          <w:rStyle w:val="110"/>
          <w:rFonts w:hint="eastAsia"/>
          <w:bCs/>
          <w:szCs w:val="32"/>
        </w:rPr>
        <w:t>（区发改委、区教委、中关村朝阳园管委会（区科信局）、区生态环境局、区城管委、区市场监督局、区文旅局等按职责分工负责）</w:t>
      </w:r>
    </w:p>
    <w:p w14:paraId="3DB4DCAF">
      <w:pPr>
        <w:spacing w:line="520" w:lineRule="exact"/>
        <w:ind w:firstLine="640"/>
        <w:rPr>
          <w:rStyle w:val="110"/>
          <w:bCs/>
          <w:szCs w:val="32"/>
        </w:rPr>
      </w:pPr>
      <w:r>
        <w:rPr>
          <w:rFonts w:hint="eastAsia" w:ascii="Times New Roman" w:eastAsia="仿宋_GB2312"/>
        </w:rPr>
        <w:t>（</w:t>
      </w:r>
      <w:r>
        <w:t>3</w:t>
      </w:r>
      <w:r>
        <w:rPr>
          <w:rFonts w:hint="eastAsia"/>
        </w:rPr>
        <w:t>）</w:t>
      </w:r>
      <w:r>
        <w:rPr>
          <w:rFonts w:hint="eastAsia"/>
          <w:szCs w:val="32"/>
        </w:rPr>
        <w:t>聚焦监管责任落实。强化区级统筹协同和属地监管责任落实，推动工作力量下沉，依托网格开展垃圾分类巡查等工作，发挥“网格</w:t>
      </w:r>
      <w:r>
        <w:rPr>
          <w:szCs w:val="32"/>
        </w:rPr>
        <w:t>+</w:t>
      </w:r>
      <w:r>
        <w:rPr>
          <w:rFonts w:hint="eastAsia"/>
          <w:szCs w:val="32"/>
        </w:rPr>
        <w:t>”作用，提升基层治理效能。强化“管行业管垃圾分类”，各行业主管部门确保生活垃圾分类标准和要求在各领域各场所执行到位。各街道（地区）建立生活垃圾分类巡查调度管理机制，纳入属地年度重点工作，强化多元共治。</w:t>
      </w:r>
      <w:r>
        <w:rPr>
          <w:rFonts w:hint="eastAsia" w:ascii="楷体_GB2312" w:eastAsia="楷体_GB2312"/>
          <w:szCs w:val="32"/>
        </w:rPr>
        <w:t>（区城管委、</w:t>
      </w:r>
      <w:r>
        <w:rPr>
          <w:rStyle w:val="110"/>
          <w:rFonts w:hint="eastAsia"/>
          <w:szCs w:val="32"/>
        </w:rPr>
        <w:t>各街道办事处及地区办事处等按职责分工负责</w:t>
      </w:r>
      <w:r>
        <w:rPr>
          <w:rFonts w:hint="eastAsia" w:ascii="楷体_GB2312" w:eastAsia="楷体_GB2312"/>
          <w:szCs w:val="32"/>
        </w:rPr>
        <w:t>）</w:t>
      </w:r>
    </w:p>
    <w:p w14:paraId="5C3B8078">
      <w:pPr>
        <w:pStyle w:val="4"/>
        <w:spacing w:line="520" w:lineRule="exact"/>
        <w:ind w:firstLine="643" w:firstLineChars="200"/>
      </w:pPr>
      <w:bookmarkStart w:id="100" w:name="_Toc6418"/>
      <w:bookmarkStart w:id="101" w:name="_Toc215060224"/>
      <w:bookmarkStart w:id="102" w:name="_Toc204092162"/>
      <w:r>
        <w:t>2.</w:t>
      </w:r>
      <w:r>
        <w:rPr>
          <w:rFonts w:hint="eastAsia"/>
        </w:rPr>
        <w:t>构建便民分类体系，完善生活垃圾分类收运系统</w:t>
      </w:r>
      <w:bookmarkEnd w:id="100"/>
    </w:p>
    <w:bookmarkEnd w:id="101"/>
    <w:bookmarkEnd w:id="102"/>
    <w:p w14:paraId="33C71BEA">
      <w:pPr>
        <w:spacing w:line="520" w:lineRule="exact"/>
        <w:ind w:firstLine="640"/>
        <w:rPr>
          <w:szCs w:val="32"/>
        </w:rPr>
      </w:pPr>
      <w:r>
        <w:rPr>
          <w:rFonts w:hint="eastAsia"/>
          <w:szCs w:val="32"/>
        </w:rPr>
        <w:t>（</w:t>
      </w:r>
      <w:r>
        <w:rPr>
          <w:szCs w:val="32"/>
        </w:rPr>
        <w:t>1</w:t>
      </w:r>
      <w:r>
        <w:rPr>
          <w:rFonts w:hint="eastAsia"/>
          <w:szCs w:val="32"/>
        </w:rPr>
        <w:t>）优化前端收集设施。进一步压实社区（村）、垃圾分类管理责任人及居民等各方责任，加强桶站设施维护更新、清洗保洁、垃圾清运等各项工作，提升投放点品质，实现投放设施改造全覆盖，合理配置分类容器，完善照明、监控等配套，提升桶站功能。优化便利回收渠道布局，实现小区（村）设置智能回收机等便利回收设备安装全覆盖。完善智能回收体系，推广智能回收模式，提高智能回收机使用率，方便有偿交投。加强满冒脏污、混装混运专项治理，持续开展垃圾分类宣传培训，提升居民对垃圾分类的认同感、成就感。持续开展</w:t>
      </w:r>
      <w:r>
        <w:rPr>
          <w:rFonts w:hint="eastAsia" w:ascii="仿宋_GB2312"/>
          <w:szCs w:val="32"/>
        </w:rPr>
        <w:t>“新风朝”可回收物集中投放日活动。</w:t>
      </w:r>
      <w:r>
        <w:rPr>
          <w:rFonts w:hint="eastAsia"/>
          <w:szCs w:val="32"/>
        </w:rPr>
        <w:t>落实北京市厨余垃圾</w:t>
      </w:r>
      <w:r>
        <w:rPr>
          <w:szCs w:val="32"/>
        </w:rPr>
        <w:t>、装修垃圾处置收费制度，</w:t>
      </w:r>
      <w:r>
        <w:rPr>
          <w:rFonts w:hint="eastAsia"/>
          <w:szCs w:val="32"/>
        </w:rPr>
        <w:t>推动</w:t>
      </w:r>
      <w:r>
        <w:rPr>
          <w:szCs w:val="32"/>
        </w:rPr>
        <w:t>收集转运处置良性循环。</w:t>
      </w:r>
      <w:r>
        <w:rPr>
          <w:rFonts w:hint="eastAsia" w:ascii="仿宋_GB2312"/>
          <w:szCs w:val="32"/>
        </w:rPr>
        <w:t>加强医疗机构废弃物管理，推动输液瓶（袋）规范回收利用。（</w:t>
      </w:r>
      <w:r>
        <w:rPr>
          <w:rStyle w:val="110"/>
          <w:rFonts w:hint="eastAsia"/>
          <w:bCs/>
          <w:szCs w:val="32"/>
        </w:rPr>
        <w:t>区城管委、区卫健委、区生态环境局、</w:t>
      </w:r>
      <w:r>
        <w:rPr>
          <w:rStyle w:val="110"/>
          <w:rFonts w:hint="eastAsia"/>
          <w:szCs w:val="32"/>
        </w:rPr>
        <w:t>各街道办事处及地区办事处</w:t>
      </w:r>
      <w:r>
        <w:rPr>
          <w:rStyle w:val="110"/>
          <w:rFonts w:hint="eastAsia"/>
          <w:bCs/>
          <w:szCs w:val="32"/>
        </w:rPr>
        <w:t>等按职责分工负责</w:t>
      </w:r>
      <w:r>
        <w:rPr>
          <w:rFonts w:hint="eastAsia" w:ascii="仿宋_GB2312"/>
          <w:szCs w:val="32"/>
        </w:rPr>
        <w:t>）</w:t>
      </w:r>
    </w:p>
    <w:p w14:paraId="1208DF66">
      <w:pPr>
        <w:spacing w:line="520" w:lineRule="exact"/>
        <w:ind w:firstLine="640"/>
        <w:rPr>
          <w:rStyle w:val="110"/>
          <w:bCs/>
          <w:szCs w:val="32"/>
        </w:rPr>
      </w:pPr>
      <w:r>
        <w:rPr>
          <w:rFonts w:hint="eastAsia" w:ascii="Times New Roman" w:eastAsia="仿宋_GB2312"/>
          <w:szCs w:val="32"/>
        </w:rPr>
        <w:t>（</w:t>
      </w:r>
      <w:r>
        <w:rPr>
          <w:szCs w:val="32"/>
        </w:rPr>
        <w:t>2</w:t>
      </w:r>
      <w:r>
        <w:rPr>
          <w:rFonts w:hint="eastAsia"/>
          <w:szCs w:val="32"/>
        </w:rPr>
        <w:t>）完善中端分类收运体系。全面推行密闭、环保、高效、便捷的生活垃圾收运方式，提升收集运输服务水平，加强生活垃圾运输行业全链条监管，紧盯密闭式清洁站、中转站、临时上车点等关键节点，推广使用机械化收运设备，加快垃圾运输车辆新能源化替代，打造转运试点，强化生活垃圾转运设施异味、渗滤液等污染治理，消除环境扰民影响，有条件的区域积极推行生活垃圾直运模式。规范运输单位和车辆管理，全面落实全流程专项治理要求，鼓励环卫专业作业单位向街巷延伸，提高专业队伍作业覆盖率，杜绝混装混运，对乱倒乱卸、未落实排放登记等违法行为严肃查处，以严格的监管倒逼前端提升分类质量。适时引入专业企业，实行生活垃圾分类与资源化利用的设施建设和日常运行维护管理一体化服务。</w:t>
      </w:r>
      <w:r>
        <w:rPr>
          <w:rStyle w:val="110"/>
          <w:rFonts w:hint="eastAsia"/>
          <w:bCs/>
          <w:szCs w:val="32"/>
        </w:rPr>
        <w:t>（区城管委、区生态环境局等按职责分工负责）</w:t>
      </w:r>
    </w:p>
    <w:p w14:paraId="291E7EFB">
      <w:pPr>
        <w:pStyle w:val="4"/>
        <w:spacing w:line="520" w:lineRule="exact"/>
        <w:ind w:firstLine="643" w:firstLineChars="200"/>
      </w:pPr>
      <w:bookmarkStart w:id="103" w:name="_Toc7258"/>
      <w:bookmarkStart w:id="104" w:name="_Toc204092164"/>
      <w:bookmarkStart w:id="105" w:name="_Toc81434477"/>
      <w:bookmarkStart w:id="106" w:name="_Toc102658591"/>
      <w:bookmarkStart w:id="107" w:name="_Toc215060225"/>
      <w:r>
        <w:t xml:space="preserve">3. </w:t>
      </w:r>
      <w:bookmarkStart w:id="108" w:name="OLE_LINK40"/>
      <w:r>
        <w:rPr>
          <w:rFonts w:hint="eastAsia"/>
        </w:rPr>
        <w:t>加强固废多源协同，提高再生资源利用水平和集中处理能力</w:t>
      </w:r>
      <w:bookmarkEnd w:id="103"/>
      <w:bookmarkEnd w:id="108"/>
    </w:p>
    <w:p w14:paraId="6194370F">
      <w:pPr>
        <w:spacing w:line="520" w:lineRule="exact"/>
        <w:ind w:firstLine="640"/>
        <w:rPr>
          <w:strike/>
          <w:szCs w:val="32"/>
        </w:rPr>
      </w:pPr>
      <w:r>
        <w:rPr>
          <w:rFonts w:hint="eastAsia"/>
          <w:szCs w:val="32"/>
        </w:rPr>
        <w:t>（</w:t>
      </w:r>
      <w:r>
        <w:rPr>
          <w:szCs w:val="32"/>
        </w:rPr>
        <w:t>1</w:t>
      </w:r>
      <w:r>
        <w:rPr>
          <w:rFonts w:hint="eastAsia"/>
          <w:szCs w:val="32"/>
        </w:rPr>
        <w:t>）提高再生资源利用水平。加快探索实施生产者责任延伸制度，鼓励电子电器生产企业自建或与第三方合作建设回收体系。推进生活垃圾分类和再生资源回收体系“两网融合”，推动在再生资源分拣中心建设，配备与回收品类、规模和工艺相适应的精细化分拣能力，基本建成再生资源回收体系，培育资源回收市场。完善大件垃圾收运体系。强化餐厨废弃油脂规范管理，按照“规范排放、定向收运、改性处置、全程监管、完善机制”的原则，建立餐厨废弃油脂“产收运处利”全链条闭环管理体系，保障食品安全，促进资源循环利用。到</w:t>
      </w:r>
      <w:r>
        <w:rPr>
          <w:szCs w:val="32"/>
        </w:rPr>
        <w:t>2027</w:t>
      </w:r>
      <w:r>
        <w:rPr>
          <w:rFonts w:hint="eastAsia"/>
          <w:szCs w:val="32"/>
        </w:rPr>
        <w:t>年，生活垃圾回收利用率保持在</w:t>
      </w:r>
      <w:r>
        <w:rPr>
          <w:rFonts w:hint="eastAsia"/>
          <w:szCs w:val="32"/>
          <w:lang w:val="en-US" w:eastAsia="zh-CN"/>
        </w:rPr>
        <w:t>X</w:t>
      </w:r>
      <w:r>
        <w:rPr>
          <w:szCs w:val="32"/>
        </w:rPr>
        <w:t>%</w:t>
      </w:r>
      <w:r>
        <w:rPr>
          <w:rFonts w:hint="eastAsia"/>
          <w:szCs w:val="32"/>
        </w:rPr>
        <w:t>，到</w:t>
      </w:r>
      <w:r>
        <w:rPr>
          <w:szCs w:val="32"/>
        </w:rPr>
        <w:t>2030</w:t>
      </w:r>
      <w:r>
        <w:rPr>
          <w:rFonts w:hint="eastAsia"/>
          <w:szCs w:val="32"/>
        </w:rPr>
        <w:t>年，生活垃圾回收利用率继续保持在</w:t>
      </w:r>
      <w:r>
        <w:rPr>
          <w:rFonts w:hint="eastAsia"/>
          <w:szCs w:val="32"/>
          <w:lang w:val="en-US" w:eastAsia="zh-CN"/>
        </w:rPr>
        <w:t>X</w:t>
      </w:r>
      <w:r>
        <w:rPr>
          <w:szCs w:val="32"/>
        </w:rPr>
        <w:t>%</w:t>
      </w:r>
      <w:r>
        <w:rPr>
          <w:rFonts w:hint="eastAsia"/>
          <w:szCs w:val="32"/>
        </w:rPr>
        <w:t>。（</w:t>
      </w:r>
      <w:r>
        <w:rPr>
          <w:rStyle w:val="110"/>
          <w:rFonts w:hint="eastAsia"/>
          <w:bCs/>
          <w:szCs w:val="32"/>
        </w:rPr>
        <w:t>区城管委等按职责分工负责</w:t>
      </w:r>
      <w:r>
        <w:rPr>
          <w:rFonts w:hint="eastAsia"/>
          <w:szCs w:val="32"/>
        </w:rPr>
        <w:t>）</w:t>
      </w:r>
    </w:p>
    <w:p w14:paraId="0E11241A">
      <w:pPr>
        <w:spacing w:line="520" w:lineRule="exact"/>
        <w:ind w:firstLine="640"/>
        <w:rPr>
          <w:rStyle w:val="110"/>
          <w:rFonts w:ascii="Times New Roman" w:eastAsia="仿宋_GB2312"/>
          <w:szCs w:val="32"/>
        </w:rPr>
      </w:pPr>
      <w:bookmarkStart w:id="109" w:name="OLE_LINK36"/>
      <w:r>
        <w:rPr>
          <w:rFonts w:hint="eastAsia" w:ascii="Times New Roman" w:eastAsia="仿宋_GB2312"/>
          <w:szCs w:val="32"/>
        </w:rPr>
        <w:t>（</w:t>
      </w:r>
      <w:r>
        <w:rPr>
          <w:szCs w:val="32"/>
        </w:rPr>
        <w:t>2</w:t>
      </w:r>
      <w:r>
        <w:rPr>
          <w:rFonts w:hint="eastAsia"/>
          <w:szCs w:val="32"/>
        </w:rPr>
        <w:t>）提升末端集中处理效能。</w:t>
      </w:r>
      <w:bookmarkEnd w:id="109"/>
      <w:r>
        <w:rPr>
          <w:rFonts w:hint="eastAsia"/>
          <w:szCs w:val="32"/>
        </w:rPr>
        <w:t>积极开展焚烧设施协同处置市政污泥等试点。提高厨余垃圾资源化利用效能。保持原生生活垃圾“零填埋”，开展生活垃圾填埋场环境污染隐患排查治理工作，科学评估填埋场风险状况，“一场一策”制定综合治理方案，实施生态治理，消除污染隐患减少存量固废，腾退填埋场所占土地。</w:t>
      </w:r>
      <w:r>
        <w:rPr>
          <w:rStyle w:val="110"/>
          <w:rFonts w:hint="eastAsia"/>
          <w:bCs/>
          <w:szCs w:val="32"/>
        </w:rPr>
        <w:t>（区城管委等按职责分工负责）</w:t>
      </w:r>
    </w:p>
    <w:bookmarkEnd w:id="104"/>
    <w:bookmarkEnd w:id="105"/>
    <w:bookmarkEnd w:id="106"/>
    <w:bookmarkEnd w:id="107"/>
    <w:p w14:paraId="38AD761B">
      <w:pPr>
        <w:widowControl/>
        <w:adjustRightInd/>
        <w:snapToGrid/>
        <w:spacing w:line="240" w:lineRule="auto"/>
        <w:ind w:firstLine="0" w:firstLineChars="0"/>
        <w:jc w:val="left"/>
        <w:rPr>
          <w:rFonts w:ascii="仿宋_GB2312" w:cstheme="majorBidi"/>
          <w:b/>
          <w:bCs/>
          <w:szCs w:val="32"/>
        </w:rPr>
      </w:pPr>
      <w:bookmarkStart w:id="110" w:name="_Toc215060226"/>
      <w:r>
        <w:rPr>
          <w:rFonts w:ascii="仿宋_GB2312"/>
          <w:b/>
        </w:rPr>
        <w:br w:type="page"/>
      </w:r>
    </w:p>
    <w:p w14:paraId="380F07F6">
      <w:pPr>
        <w:pStyle w:val="3"/>
        <w:spacing w:line="520" w:lineRule="exact"/>
        <w:rPr>
          <w:rFonts w:ascii="仿宋_GB2312" w:eastAsia="仿宋_GB2312"/>
          <w:b/>
        </w:rPr>
      </w:pPr>
      <w:bookmarkStart w:id="111" w:name="_Toc2505"/>
      <w:r>
        <w:rPr>
          <w:rFonts w:hint="eastAsia" w:ascii="仿宋_GB2312" w:eastAsia="仿宋_GB2312"/>
          <w:b/>
        </w:rPr>
        <w:t>（三）强化建筑垃圾全过程治理</w:t>
      </w:r>
      <w:bookmarkEnd w:id="110"/>
      <w:bookmarkEnd w:id="111"/>
    </w:p>
    <w:p w14:paraId="33B12BCE">
      <w:pPr>
        <w:pStyle w:val="4"/>
        <w:spacing w:line="520" w:lineRule="exact"/>
        <w:ind w:firstLine="643" w:firstLineChars="200"/>
      </w:pPr>
      <w:bookmarkStart w:id="112" w:name="_Toc81434479"/>
      <w:bookmarkStart w:id="113" w:name="_Toc204092166"/>
      <w:bookmarkStart w:id="114" w:name="_Toc102658593"/>
      <w:bookmarkStart w:id="115" w:name="_Toc215060227"/>
      <w:bookmarkStart w:id="116" w:name="_Toc27608"/>
      <w:r>
        <w:t>1.</w:t>
      </w:r>
      <w:r>
        <w:rPr>
          <w:rFonts w:hint="eastAsia"/>
        </w:rPr>
        <w:t>落实主体责任，</w:t>
      </w:r>
      <w:bookmarkStart w:id="117" w:name="OLE_LINK27"/>
      <w:r>
        <w:rPr>
          <w:rFonts w:hint="eastAsia"/>
        </w:rPr>
        <w:t>推动建筑</w:t>
      </w:r>
      <w:bookmarkEnd w:id="112"/>
      <w:bookmarkEnd w:id="113"/>
      <w:bookmarkEnd w:id="114"/>
      <w:r>
        <w:rPr>
          <w:rFonts w:hint="eastAsia"/>
        </w:rPr>
        <w:t>业绿色低碳发展</w:t>
      </w:r>
      <w:bookmarkEnd w:id="115"/>
      <w:bookmarkEnd w:id="116"/>
      <w:bookmarkEnd w:id="117"/>
    </w:p>
    <w:p w14:paraId="2EEA4398">
      <w:pPr>
        <w:spacing w:line="520" w:lineRule="exact"/>
        <w:ind w:firstLine="640"/>
        <w:rPr>
          <w:szCs w:val="32"/>
        </w:rPr>
      </w:pPr>
      <w:r>
        <w:rPr>
          <w:rFonts w:hint="eastAsia"/>
          <w:szCs w:val="32"/>
        </w:rPr>
        <w:t>（</w:t>
      </w:r>
      <w:r>
        <w:rPr>
          <w:szCs w:val="32"/>
        </w:rPr>
        <w:t>1</w:t>
      </w:r>
      <w:r>
        <w:rPr>
          <w:rFonts w:hint="eastAsia"/>
          <w:szCs w:val="32"/>
        </w:rPr>
        <w:t>）落实主体责任与分类处理。压实工程建设、设计、施工等单位主体责任，将建筑垃圾减量、运输、利用、处置所需费用列入工程造价，在工程招标和施工设计中明确减量要求和措施，探索房屋建筑和市政工程固体废物排放限额管理，推广装配式建筑、绿色施工、全装修或标准化装修交付，从源头减少建筑垃圾产生。实行分类处理，严禁与生活垃圾混投混运，持续开展专项整治，针对建筑垃圾“产生、收集、贮存、运输、利用、处置”等环节存在的无资质车辆、道路遗撒、乱倒乱卸等</w:t>
      </w:r>
      <w:r>
        <w:rPr>
          <w:szCs w:val="32"/>
        </w:rPr>
        <w:t>9</w:t>
      </w:r>
      <w:r>
        <w:rPr>
          <w:rFonts w:hint="eastAsia"/>
          <w:szCs w:val="32"/>
        </w:rPr>
        <w:t>个重点违法违规行为，集中摸排治理，实施联合惩戒，确保处置安全与环境合规。到</w:t>
      </w:r>
      <w:r>
        <w:rPr>
          <w:szCs w:val="32"/>
        </w:rPr>
        <w:t>2027</w:t>
      </w:r>
      <w:r>
        <w:rPr>
          <w:rFonts w:hint="eastAsia"/>
          <w:szCs w:val="32"/>
        </w:rPr>
        <w:t>年，装配式建筑占新建建筑的比例不低于</w:t>
      </w:r>
      <w:r>
        <w:rPr>
          <w:rFonts w:hint="eastAsia"/>
          <w:szCs w:val="32"/>
          <w:lang w:val="en-US" w:eastAsia="zh-CN"/>
        </w:rPr>
        <w:t>X</w:t>
      </w:r>
      <w:r>
        <w:rPr>
          <w:szCs w:val="32"/>
        </w:rPr>
        <w:t>%</w:t>
      </w:r>
      <w:r>
        <w:rPr>
          <w:rFonts w:hint="eastAsia"/>
          <w:szCs w:val="32"/>
        </w:rPr>
        <w:t>，到</w:t>
      </w:r>
      <w:r>
        <w:rPr>
          <w:szCs w:val="32"/>
        </w:rPr>
        <w:t>2030</w:t>
      </w:r>
      <w:r>
        <w:rPr>
          <w:rFonts w:hint="eastAsia"/>
          <w:szCs w:val="32"/>
        </w:rPr>
        <w:t>年，装配式建筑占新建建筑的比例不低于</w:t>
      </w:r>
      <w:r>
        <w:rPr>
          <w:rFonts w:hint="eastAsia"/>
          <w:szCs w:val="32"/>
          <w:lang w:val="en-US" w:eastAsia="zh-CN"/>
        </w:rPr>
        <w:t>X</w:t>
      </w:r>
      <w:r>
        <w:rPr>
          <w:szCs w:val="32"/>
        </w:rPr>
        <w:t>%</w:t>
      </w:r>
      <w:r>
        <w:rPr>
          <w:rFonts w:hint="eastAsia"/>
          <w:szCs w:val="32"/>
        </w:rPr>
        <w:t>。</w:t>
      </w:r>
      <w:r>
        <w:rPr>
          <w:rStyle w:val="110"/>
          <w:rFonts w:hint="eastAsia"/>
          <w:bCs/>
          <w:szCs w:val="32"/>
        </w:rPr>
        <w:t>（区住建委、区城管委、区发改委等按职责分工负责）</w:t>
      </w:r>
    </w:p>
    <w:p w14:paraId="6C2FFC2D">
      <w:pPr>
        <w:spacing w:line="520" w:lineRule="exact"/>
        <w:ind w:firstLine="640"/>
        <w:rPr>
          <w:rStyle w:val="110"/>
          <w:bCs/>
          <w:szCs w:val="32"/>
        </w:rPr>
      </w:pPr>
      <w:r>
        <w:rPr>
          <w:rFonts w:hint="eastAsia" w:ascii="Times New Roman" w:eastAsia="仿宋_GB2312"/>
          <w:szCs w:val="32"/>
        </w:rPr>
        <w:t>（</w:t>
      </w:r>
      <w:r>
        <w:rPr>
          <w:szCs w:val="32"/>
        </w:rPr>
        <w:t>2</w:t>
      </w:r>
      <w:r>
        <w:rPr>
          <w:rFonts w:hint="eastAsia"/>
          <w:szCs w:val="32"/>
        </w:rPr>
        <w:t>）强化施工现场与装修垃圾管理。建立建筑垃圾计量制度，开展减量化试点与绿色建筑建设。规范分类贮存、收集与清运，推进拆除与资源化利用一体化。明确装修垃圾投放、收运要求，合理设置投放点并落实防污措施。</w:t>
      </w:r>
      <w:r>
        <w:rPr>
          <w:rStyle w:val="110"/>
          <w:rFonts w:hint="eastAsia"/>
          <w:bCs/>
          <w:szCs w:val="32"/>
        </w:rPr>
        <w:t>（区住建委、区城管委、区生态环境局等按职责分工负责）</w:t>
      </w:r>
    </w:p>
    <w:p w14:paraId="07EA4203">
      <w:pPr>
        <w:pStyle w:val="4"/>
        <w:spacing w:line="520" w:lineRule="exact"/>
        <w:ind w:firstLine="643" w:firstLineChars="200"/>
      </w:pPr>
      <w:bookmarkStart w:id="118" w:name="_Toc215060228"/>
      <w:bookmarkStart w:id="119" w:name="_Toc22020"/>
      <w:r>
        <w:t>2.</w:t>
      </w:r>
      <w:r>
        <w:rPr>
          <w:rFonts w:hint="eastAsia"/>
        </w:rPr>
        <w:t>加强设施建设，提高建筑垃圾综合利用水平</w:t>
      </w:r>
      <w:bookmarkEnd w:id="118"/>
      <w:bookmarkEnd w:id="119"/>
    </w:p>
    <w:p w14:paraId="4AADE6EA">
      <w:pPr>
        <w:spacing w:line="520" w:lineRule="exact"/>
        <w:ind w:firstLine="640"/>
        <w:rPr>
          <w:szCs w:val="32"/>
        </w:rPr>
      </w:pPr>
      <w:r>
        <w:rPr>
          <w:rFonts w:hint="eastAsia"/>
          <w:szCs w:val="32"/>
        </w:rPr>
        <w:t>（</w:t>
      </w:r>
      <w:r>
        <w:rPr>
          <w:szCs w:val="32"/>
        </w:rPr>
        <w:t>1</w:t>
      </w:r>
      <w:r>
        <w:rPr>
          <w:rFonts w:hint="eastAsia"/>
          <w:szCs w:val="32"/>
        </w:rPr>
        <w:t>）</w:t>
      </w:r>
      <w:bookmarkStart w:id="120" w:name="OLE_LINK77"/>
      <w:r>
        <w:rPr>
          <w:rFonts w:hint="eastAsia"/>
          <w:szCs w:val="32"/>
        </w:rPr>
        <w:t>统筹推进设施建设。</w:t>
      </w:r>
      <w:bookmarkEnd w:id="120"/>
      <w:r>
        <w:rPr>
          <w:rFonts w:hint="eastAsia"/>
          <w:szCs w:val="32"/>
        </w:rPr>
        <w:t>合理布局建筑垃圾临时贮存处理设施用地，加强临时设施的环保措施</w:t>
      </w:r>
      <w:bookmarkStart w:id="121" w:name="OLE_LINK78"/>
      <w:r>
        <w:rPr>
          <w:rFonts w:hint="eastAsia"/>
          <w:szCs w:val="32"/>
        </w:rPr>
        <w:t>。</w:t>
      </w:r>
      <w:bookmarkEnd w:id="121"/>
      <w:r>
        <w:rPr>
          <w:rFonts w:hint="eastAsia"/>
          <w:szCs w:val="32"/>
        </w:rPr>
        <w:t>加强现有建筑垃圾处理设施的处理处置能力，增加建筑垃圾处理或资源化产品的种类，提升资源化利用水平。</w:t>
      </w:r>
      <w:r>
        <w:rPr>
          <w:rStyle w:val="110"/>
          <w:rFonts w:hint="eastAsia"/>
          <w:bCs/>
          <w:szCs w:val="32"/>
        </w:rPr>
        <w:t>（区住建委、区城管委、区发改委、区生态环境局、市规自委朝阳分局等按职责分工负责）</w:t>
      </w:r>
    </w:p>
    <w:p w14:paraId="3EC1D906">
      <w:pPr>
        <w:spacing w:line="520" w:lineRule="exact"/>
        <w:ind w:firstLine="640"/>
        <w:rPr>
          <w:rStyle w:val="110"/>
          <w:bCs/>
          <w:szCs w:val="32"/>
        </w:rPr>
      </w:pPr>
      <w:r>
        <w:rPr>
          <w:rFonts w:hint="eastAsia" w:ascii="Times New Roman" w:eastAsia="仿宋_GB2312"/>
          <w:szCs w:val="32"/>
        </w:rPr>
        <w:t>（</w:t>
      </w:r>
      <w:r>
        <w:rPr>
          <w:szCs w:val="32"/>
        </w:rPr>
        <w:t>2</w:t>
      </w:r>
      <w:r>
        <w:rPr>
          <w:rFonts w:hint="eastAsia"/>
          <w:szCs w:val="32"/>
        </w:rPr>
        <w:t>）促进资源化产业发展与产品应用。鼓励培育产业基地与骨干企业，推广绿色建材与技术。完善再生产品标准体系，推进产品认证与质量监测，动态公布生产目录。推行收运利用一体化运营，畅通再生产品在建筑工程、道路工程等领域的应用渠道。使用财政资金、国有投资占控股（主导）的建设工程，在技术指标符合设计要求、满足使用功能的前提下，在道路、园林绿化、河道治理、步道等指定部位要“应用尽用”，鼓励其他建设工程优先选用再生产品，原则上最低不少于</w:t>
      </w:r>
      <w:r>
        <w:rPr>
          <w:rFonts w:hint="eastAsia"/>
          <w:szCs w:val="32"/>
          <w:lang w:val="en-US" w:eastAsia="zh-CN"/>
        </w:rPr>
        <w:t>X</w:t>
      </w:r>
      <w:r>
        <w:rPr>
          <w:szCs w:val="32"/>
        </w:rPr>
        <w:t>%</w:t>
      </w:r>
      <w:r>
        <w:rPr>
          <w:rFonts w:hint="eastAsia"/>
          <w:szCs w:val="32"/>
        </w:rPr>
        <w:t>。</w:t>
      </w:r>
      <w:r>
        <w:rPr>
          <w:rStyle w:val="110"/>
          <w:rFonts w:hint="eastAsia"/>
          <w:bCs/>
          <w:szCs w:val="32"/>
        </w:rPr>
        <w:t>（区住建委、区城管委、区市场监管局等按职责分工负责）</w:t>
      </w:r>
    </w:p>
    <w:p w14:paraId="0828A47B">
      <w:pPr>
        <w:spacing w:line="520" w:lineRule="exact"/>
        <w:ind w:firstLine="640"/>
        <w:rPr>
          <w:rStyle w:val="110"/>
          <w:bCs/>
          <w:szCs w:val="32"/>
        </w:rPr>
      </w:pPr>
      <w:bookmarkStart w:id="122" w:name="OLE_LINK37"/>
      <w:r>
        <w:rPr>
          <w:rFonts w:hint="eastAsia" w:ascii="Times New Roman" w:eastAsia="仿宋_GB2312"/>
        </w:rPr>
        <w:t>（</w:t>
      </w:r>
      <w:r>
        <w:t>3</w:t>
      </w:r>
      <w:r>
        <w:rPr>
          <w:rFonts w:hint="eastAsia"/>
        </w:rPr>
        <w:t>）开展“无废工地”示范建设。</w:t>
      </w:r>
      <w:bookmarkEnd w:id="122"/>
      <w:r>
        <w:rPr>
          <w:rFonts w:hint="eastAsia" w:ascii="宋体" w:hAnsi="宋体" w:cs="宋体"/>
          <w:kern w:val="0"/>
          <w:szCs w:val="21"/>
        </w:rPr>
        <w:t>将施工现场建筑材料资源利用措施纳入绿色施工管理要求。装配式新建建筑施工现场、新建建筑施工现场建筑垃圾（不包括工程渣土、工程泥浆）产生量每万平方米分别低于</w:t>
      </w:r>
      <w:r>
        <w:rPr>
          <w:kern w:val="0"/>
          <w:szCs w:val="21"/>
        </w:rPr>
        <w:t>200</w:t>
      </w:r>
      <w:r>
        <w:rPr>
          <w:rFonts w:hint="eastAsia"/>
          <w:kern w:val="0"/>
          <w:szCs w:val="21"/>
        </w:rPr>
        <w:t>吨、</w:t>
      </w:r>
      <w:r>
        <w:rPr>
          <w:kern w:val="0"/>
          <w:szCs w:val="21"/>
        </w:rPr>
        <w:t>300</w:t>
      </w:r>
      <w:r>
        <w:rPr>
          <w:rFonts w:hint="eastAsia"/>
          <w:kern w:val="0"/>
          <w:szCs w:val="21"/>
        </w:rPr>
        <w:t>吨。鼓励装配式新建建筑施工现场、新建建筑施工现场建筑</w:t>
      </w:r>
      <w:r>
        <w:rPr>
          <w:rFonts w:hint="eastAsia" w:ascii="宋体" w:hAnsi="宋体" w:cs="宋体"/>
          <w:kern w:val="0"/>
          <w:szCs w:val="21"/>
        </w:rPr>
        <w:t>垃圾（不包括工程渣土、工程泥浆）产生量每万平方米分别低</w:t>
      </w:r>
      <w:r>
        <w:rPr>
          <w:rFonts w:hint="eastAsia"/>
          <w:kern w:val="0"/>
          <w:szCs w:val="21"/>
        </w:rPr>
        <w:t>于</w:t>
      </w:r>
      <w:r>
        <w:rPr>
          <w:kern w:val="0"/>
          <w:szCs w:val="21"/>
        </w:rPr>
        <w:t>140</w:t>
      </w:r>
      <w:r>
        <w:rPr>
          <w:rFonts w:hint="eastAsia"/>
          <w:kern w:val="0"/>
          <w:szCs w:val="21"/>
        </w:rPr>
        <w:t>吨、</w:t>
      </w:r>
      <w:r>
        <w:rPr>
          <w:kern w:val="0"/>
          <w:szCs w:val="21"/>
        </w:rPr>
        <w:t>210</w:t>
      </w:r>
      <w:r>
        <w:rPr>
          <w:rFonts w:hint="eastAsia"/>
          <w:kern w:val="0"/>
          <w:szCs w:val="21"/>
        </w:rPr>
        <w:t>吨</w:t>
      </w:r>
      <w:r>
        <w:rPr>
          <w:rFonts w:hint="eastAsia" w:ascii="宋体" w:hAnsi="宋体" w:cs="宋体"/>
          <w:kern w:val="0"/>
          <w:szCs w:val="21"/>
        </w:rPr>
        <w:t>。</w:t>
      </w:r>
      <w:r>
        <w:rPr>
          <w:rStyle w:val="110"/>
          <w:rFonts w:hint="eastAsia"/>
          <w:bCs/>
          <w:szCs w:val="32"/>
        </w:rPr>
        <w:t>（区住建委负责）</w:t>
      </w:r>
    </w:p>
    <w:p w14:paraId="3A664EF3">
      <w:pPr>
        <w:pStyle w:val="4"/>
        <w:spacing w:line="520" w:lineRule="exact"/>
        <w:ind w:firstLine="643" w:firstLineChars="200"/>
      </w:pPr>
      <w:bookmarkStart w:id="123" w:name="_Toc102658596"/>
      <w:bookmarkStart w:id="124" w:name="_Toc204092169"/>
      <w:bookmarkStart w:id="125" w:name="_Toc215060229"/>
      <w:bookmarkStart w:id="126" w:name="_Toc30759"/>
      <w:r>
        <w:t>3.</w:t>
      </w:r>
      <w:r>
        <w:rPr>
          <w:rFonts w:hint="eastAsia"/>
        </w:rPr>
        <w:t>完善监管体系，推进建筑垃圾</w:t>
      </w:r>
      <w:bookmarkEnd w:id="123"/>
      <w:r>
        <w:rPr>
          <w:rFonts w:hint="eastAsia"/>
        </w:rPr>
        <w:t>全过程</w:t>
      </w:r>
      <w:bookmarkEnd w:id="124"/>
      <w:bookmarkEnd w:id="125"/>
      <w:r>
        <w:rPr>
          <w:rFonts w:hint="eastAsia"/>
        </w:rPr>
        <w:t>闭环管理</w:t>
      </w:r>
      <w:bookmarkEnd w:id="126"/>
    </w:p>
    <w:p w14:paraId="66BA4483">
      <w:pPr>
        <w:spacing w:line="520" w:lineRule="exact"/>
        <w:ind w:firstLine="640"/>
        <w:rPr>
          <w:rStyle w:val="110"/>
          <w:b w:val="0"/>
          <w:bCs/>
          <w:szCs w:val="32"/>
        </w:rPr>
      </w:pPr>
      <w:r>
        <w:rPr>
          <w:rFonts w:hint="eastAsia" w:ascii="Times New Roman" w:eastAsia="仿宋_GB2312"/>
          <w:szCs w:val="32"/>
        </w:rPr>
        <w:t>（</w:t>
      </w:r>
      <w:r>
        <w:rPr>
          <w:szCs w:val="32"/>
        </w:rPr>
        <w:t>1</w:t>
      </w:r>
      <w:r>
        <w:rPr>
          <w:rFonts w:hint="eastAsia"/>
          <w:szCs w:val="32"/>
        </w:rPr>
        <w:t>）规范运输管理，建立退出机制。落实“进门查证、出门查车”，强化源头管控。科学评估建筑垃圾产生量、运输需求，引导运输单位合理配置运力。强化运输行为监管，打造绿色运输车队，采用密闭式新能源车辆，按照规定时间、路线将建筑垃圾运送至指定地点，严防沿途遗撒、乱倒乱卸、交通违法</w:t>
      </w:r>
      <w:r>
        <w:rPr>
          <w:rFonts w:hint="eastAsia"/>
        </w:rPr>
        <w:t>、噪音扰民</w:t>
      </w:r>
      <w:r>
        <w:rPr>
          <w:rFonts w:hint="eastAsia"/>
          <w:szCs w:val="32"/>
        </w:rPr>
        <w:t>等行为发生。提升建筑垃圾处理方案备案、运输经营许可、消纳备案等管理系统，强化“产、运、消”单位责任追究和信用管理，建立违规运输、处置单位退出机制。制定有关行政处罚自由裁量权基准制度，明确奖惩制度和退出规则。对违法违规情节严重的运输单位，依法依规吊销其城市建筑垃圾处置核准证。</w:t>
      </w:r>
      <w:r>
        <w:rPr>
          <w:rStyle w:val="110"/>
          <w:rFonts w:hint="eastAsia"/>
          <w:bCs/>
          <w:szCs w:val="32"/>
        </w:rPr>
        <w:t>（区住建委、区城管委、区生态环境局、</w:t>
      </w:r>
      <w:r>
        <w:rPr>
          <w:rFonts w:hint="eastAsia" w:eastAsia="楷体_GB2312"/>
          <w:szCs w:val="32"/>
        </w:rPr>
        <w:t>市交通委朝阳运输管理分局</w:t>
      </w:r>
      <w:r>
        <w:rPr>
          <w:rStyle w:val="110"/>
          <w:rFonts w:hint="eastAsia"/>
          <w:bCs/>
          <w:szCs w:val="32"/>
        </w:rPr>
        <w:t>等按职责分工负责）</w:t>
      </w:r>
    </w:p>
    <w:p w14:paraId="01EF9194">
      <w:pPr>
        <w:spacing w:line="520" w:lineRule="exact"/>
        <w:ind w:firstLine="640"/>
        <w:rPr>
          <w:szCs w:val="32"/>
        </w:rPr>
      </w:pPr>
      <w:r>
        <w:rPr>
          <w:rFonts w:hint="eastAsia"/>
          <w:szCs w:val="32"/>
        </w:rPr>
        <w:t>（</w:t>
      </w:r>
      <w:r>
        <w:rPr>
          <w:szCs w:val="32"/>
        </w:rPr>
        <w:t>2</w:t>
      </w:r>
      <w:r>
        <w:rPr>
          <w:rFonts w:hint="eastAsia"/>
          <w:szCs w:val="32"/>
        </w:rPr>
        <w:t>）构建智能化监管平台，加强信息化监管。</w:t>
      </w:r>
      <w:bookmarkStart w:id="127" w:name="OLE_LINK81"/>
      <w:r>
        <w:rPr>
          <w:rFonts w:hint="eastAsia"/>
          <w:szCs w:val="32"/>
        </w:rPr>
        <w:t>运用物联网、大数据、卫星遥感等技术，对建筑垃圾产生、运输、消纳全过程进行实时监控，实现信息共享和动态管理。</w:t>
      </w:r>
      <w:bookmarkEnd w:id="127"/>
      <w:r>
        <w:rPr>
          <w:rFonts w:hint="eastAsia"/>
          <w:szCs w:val="32"/>
        </w:rPr>
        <w:t>完善建筑垃圾信息化管理平台，实现部门数据互通，共享工程渣土排放和用土需求信息，合理调配工程渣土，推动实现产消动态平衡。</w:t>
      </w:r>
      <w:r>
        <w:rPr>
          <w:rStyle w:val="110"/>
          <w:rFonts w:hint="eastAsia"/>
          <w:bCs/>
          <w:szCs w:val="32"/>
        </w:rPr>
        <w:t>（区住建委、区城管委、区生态环境局等按职责分工负责）</w:t>
      </w:r>
    </w:p>
    <w:p w14:paraId="5EB09150">
      <w:pPr>
        <w:spacing w:line="520" w:lineRule="exact"/>
        <w:ind w:firstLine="640"/>
        <w:rPr>
          <w:rStyle w:val="110"/>
          <w:bCs/>
          <w:szCs w:val="32"/>
        </w:rPr>
      </w:pPr>
      <w:r>
        <w:rPr>
          <w:rFonts w:hint="eastAsia" w:ascii="Times New Roman" w:eastAsia="仿宋_GB2312"/>
          <w:szCs w:val="32"/>
        </w:rPr>
        <w:t>（</w:t>
      </w:r>
      <w:r>
        <w:rPr>
          <w:szCs w:val="32"/>
        </w:rPr>
        <w:t>3</w:t>
      </w:r>
      <w:r>
        <w:rPr>
          <w:rFonts w:hint="eastAsia"/>
          <w:szCs w:val="32"/>
        </w:rPr>
        <w:t>）健全多部门协同监管机制。建立建筑垃圾巡查体系，开展重点区域常态化巡检。落实处置核准制度，研究完善建筑垃圾处置收费机制。完善联合执法与信用惩戒机制，严厉打击无证偷运、套牌冒牌、泄漏遗撒、非法倾倒处置等违法违规行为。</w:t>
      </w:r>
      <w:r>
        <w:rPr>
          <w:rStyle w:val="110"/>
          <w:rFonts w:hint="eastAsia"/>
          <w:bCs/>
          <w:szCs w:val="32"/>
        </w:rPr>
        <w:t>（区住建委、市规自委朝阳分局、区城管委、区生态环境局、市交通委朝阳运输管理分局等按职责分工负责）</w:t>
      </w:r>
    </w:p>
    <w:p w14:paraId="0D2EE220">
      <w:pPr>
        <w:widowControl/>
        <w:adjustRightInd/>
        <w:snapToGrid/>
        <w:spacing w:line="240" w:lineRule="auto"/>
        <w:ind w:firstLine="0" w:firstLineChars="0"/>
        <w:jc w:val="left"/>
        <w:rPr>
          <w:rFonts w:ascii="仿宋_GB2312" w:cstheme="majorBidi"/>
          <w:b/>
          <w:bCs/>
          <w:szCs w:val="32"/>
        </w:rPr>
      </w:pPr>
      <w:bookmarkStart w:id="128" w:name="_Toc215060230"/>
      <w:bookmarkStart w:id="129" w:name="OLE_LINK9"/>
      <w:r>
        <w:rPr>
          <w:rFonts w:ascii="仿宋_GB2312"/>
          <w:b/>
        </w:rPr>
        <w:br w:type="page"/>
      </w:r>
    </w:p>
    <w:p w14:paraId="36C38CE5">
      <w:pPr>
        <w:pStyle w:val="3"/>
        <w:spacing w:line="520" w:lineRule="exact"/>
        <w:rPr>
          <w:rFonts w:ascii="仿宋_GB2312"/>
          <w:b/>
          <w:color w:val="FF0000"/>
        </w:rPr>
      </w:pPr>
      <w:bookmarkStart w:id="130" w:name="_Toc31419"/>
      <w:r>
        <w:rPr>
          <w:rFonts w:hint="eastAsia" w:ascii="仿宋_GB2312" w:eastAsia="仿宋_GB2312"/>
          <w:b/>
        </w:rPr>
        <w:t>（四）严密防控危险废物环境风险</w:t>
      </w:r>
      <w:bookmarkEnd w:id="128"/>
      <w:bookmarkEnd w:id="130"/>
    </w:p>
    <w:p w14:paraId="26029F4A">
      <w:pPr>
        <w:pStyle w:val="4"/>
        <w:spacing w:line="520" w:lineRule="exact"/>
        <w:ind w:firstLine="643" w:firstLineChars="200"/>
      </w:pPr>
      <w:bookmarkStart w:id="131" w:name="_Toc22324"/>
      <w:bookmarkStart w:id="132" w:name="_Toc215060231"/>
      <w:r>
        <w:t>1.</w:t>
      </w:r>
      <w:r>
        <w:rPr>
          <w:rFonts w:hint="eastAsia"/>
        </w:rPr>
        <w:t>加强过程管理，提升精细管理水平</w:t>
      </w:r>
      <w:bookmarkEnd w:id="131"/>
    </w:p>
    <w:p w14:paraId="19E9FABE">
      <w:pPr>
        <w:spacing w:line="520" w:lineRule="exact"/>
        <w:ind w:firstLine="640"/>
        <w:rPr>
          <w:bCs/>
          <w:szCs w:val="32"/>
        </w:rPr>
      </w:pPr>
      <w:r>
        <w:rPr>
          <w:rFonts w:hint="eastAsia"/>
          <w:bCs/>
          <w:szCs w:val="32"/>
        </w:rPr>
        <w:t>（</w:t>
      </w:r>
      <w:r>
        <w:rPr>
          <w:bCs/>
          <w:szCs w:val="32"/>
        </w:rPr>
        <w:t>1</w:t>
      </w:r>
      <w:r>
        <w:rPr>
          <w:rFonts w:hint="eastAsia"/>
          <w:bCs/>
          <w:szCs w:val="32"/>
        </w:rPr>
        <w:t>）严格落实企业主体责任。产生、收集、贮存、运输、利用、处置危险废物的单位应切实履行污染防治主体责任，落实相关法律法规和标准要求，采取有效措施减少危险废物的产生量、提升资源化利用水平、降低危害性。从源头推进危险废物减量，推动工业危险废物产生强度逐步降低。</w:t>
      </w:r>
      <w:r>
        <w:rPr>
          <w:rStyle w:val="110"/>
          <w:rFonts w:hint="eastAsia"/>
          <w:szCs w:val="32"/>
        </w:rPr>
        <w:t>（区生态环境局负责）</w:t>
      </w:r>
    </w:p>
    <w:p w14:paraId="0BB6EDEA">
      <w:pPr>
        <w:spacing w:line="520" w:lineRule="exact"/>
        <w:ind w:firstLine="640"/>
        <w:rPr>
          <w:bCs/>
          <w:szCs w:val="32"/>
        </w:rPr>
      </w:pPr>
      <w:r>
        <w:rPr>
          <w:rFonts w:hint="eastAsia"/>
          <w:bCs/>
          <w:szCs w:val="32"/>
        </w:rPr>
        <w:t>（</w:t>
      </w:r>
      <w:r>
        <w:rPr>
          <w:bCs/>
          <w:szCs w:val="32"/>
        </w:rPr>
        <w:t>2</w:t>
      </w:r>
      <w:r>
        <w:rPr>
          <w:rFonts w:hint="eastAsia"/>
          <w:bCs/>
          <w:szCs w:val="32"/>
        </w:rPr>
        <w:t>）加强危险废物全流程管理。加强收运规范化管理，指导实验室、汽修店等分散的产废单位与收集单位签订长期服务协议，定期进行（如按月</w:t>
      </w:r>
      <w:r>
        <w:rPr>
          <w:bCs/>
          <w:szCs w:val="32"/>
        </w:rPr>
        <w:t>/</w:t>
      </w:r>
      <w:r>
        <w:rPr>
          <w:rFonts w:hint="eastAsia"/>
          <w:bCs/>
          <w:szCs w:val="32"/>
        </w:rPr>
        <w:t>季度）收集转运。完善危险废物运输车辆管理制度，</w:t>
      </w:r>
      <w:r>
        <w:rPr>
          <w:rFonts w:hint="eastAsia" w:ascii="宋体" w:hAnsi="宋体" w:cs="宋体"/>
          <w:kern w:val="0"/>
          <w:szCs w:val="21"/>
        </w:rPr>
        <w:t>加强五环内危险废物全天运输通行能力保障，提高运输效率。</w:t>
      </w:r>
      <w:r>
        <w:rPr>
          <w:rStyle w:val="110"/>
          <w:rFonts w:hint="eastAsia"/>
          <w:szCs w:val="32"/>
        </w:rPr>
        <w:t>（区生态环境局、中关村朝阳园管委会（区科信局）、市交通委朝阳运输管理分局、区教委等按职责分工负责）</w:t>
      </w:r>
    </w:p>
    <w:p w14:paraId="1492C795">
      <w:pPr>
        <w:spacing w:line="520" w:lineRule="exact"/>
        <w:ind w:firstLine="640"/>
        <w:rPr>
          <w:rStyle w:val="110"/>
          <w:szCs w:val="32"/>
        </w:rPr>
      </w:pPr>
      <w:r>
        <w:rPr>
          <w:rFonts w:hint="eastAsia" w:ascii="Times New Roman" w:eastAsia="仿宋_GB2312"/>
          <w:bCs/>
          <w:szCs w:val="32"/>
        </w:rPr>
        <w:t>（</w:t>
      </w:r>
      <w:r>
        <w:rPr>
          <w:bCs/>
          <w:szCs w:val="32"/>
        </w:rPr>
        <w:t>3</w:t>
      </w:r>
      <w:r>
        <w:rPr>
          <w:rFonts w:hint="eastAsia"/>
          <w:bCs/>
          <w:szCs w:val="32"/>
        </w:rPr>
        <w:t>）加强医疗废物全流程管理。规范医疗机构管理，严格执行转移联单制度，禁止医疗废物与其他废物或生活垃圾混合储运处置。完善医疗废物收运体系，持续推进“小箱进大箱”。探索医疗废物“智慧化”管理模式</w:t>
      </w:r>
      <w:r>
        <w:rPr>
          <w:rFonts w:hint="eastAsia"/>
          <w:bCs/>
          <w:szCs w:val="32"/>
          <w:lang w:eastAsia="zh-CN"/>
        </w:rPr>
        <w:t>，</w:t>
      </w:r>
      <w:r>
        <w:rPr>
          <w:rFonts w:hint="eastAsia"/>
          <w:bCs/>
          <w:szCs w:val="32"/>
        </w:rPr>
        <w:t>推广使用医疗废物电子转移联单，鼓励配备智能转运车辆、手持终端等设备，实现医疗废物从科室分类、电子称重、扫码转运到终端处置的全流程数字化追溯，构建起源头严防、过程严管、处置严控的全链条监管体系。</w:t>
      </w:r>
      <w:r>
        <w:rPr>
          <w:rStyle w:val="110"/>
          <w:rFonts w:hint="eastAsia"/>
          <w:szCs w:val="32"/>
        </w:rPr>
        <w:t>（区卫健委负责）</w:t>
      </w:r>
    </w:p>
    <w:p w14:paraId="2D3D1A34">
      <w:pPr>
        <w:pStyle w:val="4"/>
        <w:spacing w:line="520" w:lineRule="exact"/>
        <w:ind w:firstLine="643" w:firstLineChars="200"/>
        <w:rPr>
          <w:bCs w:val="0"/>
        </w:rPr>
      </w:pPr>
      <w:bookmarkStart w:id="133" w:name="_Toc30617"/>
      <w:r>
        <w:rPr>
          <w:bCs w:val="0"/>
        </w:rPr>
        <w:t>2.</w:t>
      </w:r>
      <w:r>
        <w:rPr>
          <w:rFonts w:hint="eastAsia"/>
          <w:bCs w:val="0"/>
        </w:rPr>
        <w:t>强化末端治理，提升利用处置能力</w:t>
      </w:r>
      <w:bookmarkEnd w:id="133"/>
    </w:p>
    <w:p w14:paraId="788AF966">
      <w:pPr>
        <w:spacing w:line="520" w:lineRule="exact"/>
        <w:ind w:firstLine="640"/>
        <w:rPr>
          <w:bCs/>
          <w:szCs w:val="32"/>
        </w:rPr>
      </w:pPr>
      <w:r>
        <w:rPr>
          <w:rFonts w:hint="eastAsia"/>
          <w:bCs/>
          <w:szCs w:val="32"/>
        </w:rPr>
        <w:t>（</w:t>
      </w:r>
      <w:r>
        <w:rPr>
          <w:bCs/>
          <w:szCs w:val="32"/>
        </w:rPr>
        <w:t>1</w:t>
      </w:r>
      <w:r>
        <w:rPr>
          <w:rFonts w:hint="eastAsia"/>
          <w:bCs/>
          <w:szCs w:val="32"/>
        </w:rPr>
        <w:t>）</w:t>
      </w:r>
      <w:bookmarkStart w:id="134" w:name="OLE_LINK20"/>
      <w:r>
        <w:rPr>
          <w:rFonts w:hint="eastAsia"/>
          <w:bCs/>
          <w:szCs w:val="32"/>
        </w:rPr>
        <w:t>推动危险废物利用处置能力提升。</w:t>
      </w:r>
      <w:bookmarkEnd w:id="134"/>
      <w:r>
        <w:rPr>
          <w:rFonts w:hint="eastAsia"/>
          <w:bCs/>
          <w:szCs w:val="32"/>
        </w:rPr>
        <w:t>开展生活垃圾焚烧飞灰减量处理技术攻关和应用试点。推动垃圾焚烧飞灰“零填埋”，开展飞灰资源化创新实践，推进焚烧飞灰回炉减量示范项目建设，探索飞灰原位脱毒减量处理。</w:t>
      </w:r>
      <w:r>
        <w:rPr>
          <w:rStyle w:val="110"/>
          <w:rFonts w:hint="eastAsia"/>
          <w:szCs w:val="32"/>
        </w:rPr>
        <w:t>（区生态环境局、区城管委、中关村朝阳园管委会（区科信局）等按职责分工负责）</w:t>
      </w:r>
    </w:p>
    <w:p w14:paraId="4036C536">
      <w:pPr>
        <w:spacing w:line="520" w:lineRule="exact"/>
        <w:ind w:firstLine="640"/>
        <w:rPr>
          <w:bCs/>
          <w:szCs w:val="32"/>
        </w:rPr>
      </w:pPr>
      <w:r>
        <w:rPr>
          <w:rFonts w:hint="eastAsia"/>
          <w:bCs/>
          <w:szCs w:val="32"/>
        </w:rPr>
        <w:t>（</w:t>
      </w:r>
      <w:r>
        <w:rPr>
          <w:bCs/>
          <w:szCs w:val="32"/>
        </w:rPr>
        <w:t>2</w:t>
      </w:r>
      <w:r>
        <w:rPr>
          <w:rFonts w:hint="eastAsia"/>
          <w:bCs/>
          <w:szCs w:val="32"/>
        </w:rPr>
        <w:t>）</w:t>
      </w:r>
      <w:bookmarkStart w:id="135" w:name="OLE_LINK21"/>
      <w:r>
        <w:rPr>
          <w:rFonts w:hint="eastAsia"/>
          <w:bCs/>
          <w:szCs w:val="32"/>
        </w:rPr>
        <w:t>加强医疗废物应急处置能力建设。</w:t>
      </w:r>
      <w:bookmarkEnd w:id="135"/>
      <w:r>
        <w:rPr>
          <w:rFonts w:hint="eastAsia"/>
          <w:bCs/>
          <w:szCs w:val="32"/>
        </w:rPr>
        <w:t>动态完善“平急两用”医疗废物收集处置体系，支持新建或改造符合条件的危险废物焚烧、生活垃圾焚烧等设施，应急协同处置医疗废物。</w:t>
      </w:r>
      <w:r>
        <w:rPr>
          <w:rStyle w:val="110"/>
          <w:rFonts w:hint="eastAsia"/>
          <w:szCs w:val="32"/>
        </w:rPr>
        <w:t>（区卫健委、区城管委、区生态环境局等按职责分工负责）</w:t>
      </w:r>
    </w:p>
    <w:p w14:paraId="2A8BD912">
      <w:pPr>
        <w:pStyle w:val="4"/>
        <w:spacing w:line="520" w:lineRule="exact"/>
        <w:ind w:firstLine="643" w:firstLineChars="200"/>
        <w:rPr>
          <w:bCs w:val="0"/>
        </w:rPr>
      </w:pPr>
      <w:bookmarkStart w:id="136" w:name="_Toc3502"/>
      <w:r>
        <w:rPr>
          <w:bCs w:val="0"/>
        </w:rPr>
        <w:t>3.</w:t>
      </w:r>
      <w:r>
        <w:rPr>
          <w:rFonts w:hint="eastAsia"/>
          <w:bCs w:val="0"/>
        </w:rPr>
        <w:t>完善机制体系，提升风险防控能力</w:t>
      </w:r>
      <w:bookmarkEnd w:id="136"/>
    </w:p>
    <w:p w14:paraId="6E46191E">
      <w:pPr>
        <w:spacing w:line="520" w:lineRule="exact"/>
        <w:ind w:firstLine="640"/>
        <w:rPr>
          <w:bCs/>
          <w:szCs w:val="32"/>
        </w:rPr>
      </w:pPr>
      <w:r>
        <w:rPr>
          <w:rFonts w:hint="eastAsia"/>
          <w:bCs/>
          <w:szCs w:val="32"/>
        </w:rPr>
        <w:t>（</w:t>
      </w:r>
      <w:r>
        <w:rPr>
          <w:bCs/>
          <w:szCs w:val="32"/>
        </w:rPr>
        <w:t>1</w:t>
      </w:r>
      <w:r>
        <w:rPr>
          <w:rFonts w:hint="eastAsia"/>
          <w:bCs/>
          <w:szCs w:val="32"/>
        </w:rPr>
        <w:t>）健全环境风险防控机制。坚持预防为主，深入开展危险废物规范化环境管理评估，建立环境风险防控长效机制。完善极端天气、地震等自然灾害时期的防控措施，强化应急准备，科学处置突发环境事件。</w:t>
      </w:r>
      <w:r>
        <w:rPr>
          <w:rStyle w:val="110"/>
          <w:rFonts w:hint="eastAsia"/>
          <w:szCs w:val="32"/>
        </w:rPr>
        <w:t>（区生态环境局负责）</w:t>
      </w:r>
    </w:p>
    <w:p w14:paraId="00A6793F">
      <w:pPr>
        <w:spacing w:line="520" w:lineRule="exact"/>
        <w:ind w:firstLine="640"/>
        <w:rPr>
          <w:rStyle w:val="110"/>
          <w:szCs w:val="32"/>
        </w:rPr>
      </w:pPr>
      <w:r>
        <w:rPr>
          <w:rFonts w:hint="eastAsia" w:ascii="Times New Roman" w:eastAsia="仿宋_GB2312"/>
          <w:szCs w:val="32"/>
        </w:rPr>
        <w:t>（</w:t>
      </w:r>
      <w:r>
        <w:rPr>
          <w:szCs w:val="32"/>
        </w:rPr>
        <w:t>2</w:t>
      </w:r>
      <w:r>
        <w:rPr>
          <w:rFonts w:hint="eastAsia"/>
          <w:szCs w:val="32"/>
        </w:rPr>
        <w:t>）</w:t>
      </w:r>
      <w:r>
        <w:rPr>
          <w:rFonts w:hint="eastAsia"/>
          <w:bCs/>
          <w:szCs w:val="32"/>
        </w:rPr>
        <w:t>加强执法监管力度。开展专项整治，强化对废矿物油、实验室危险废物等社会源危险废物及废荧光灯管、废化学药品等有害垃圾的收集、回收利用和处置监管。加强电动自行车废铅蓄电池监管力度。推动涉固体废物信访、投诉、举报案件及时办结，固体废物环境污染刑事案件线索应立案尽立案，推进实施生态环境损害赔偿制度，严厉打击和震慑固体废物相关的违法违规行为。</w:t>
      </w:r>
      <w:r>
        <w:rPr>
          <w:rStyle w:val="110"/>
          <w:rFonts w:hint="eastAsia"/>
          <w:szCs w:val="32"/>
        </w:rPr>
        <w:t>（区生态环境局、区城管委、市公安局朝阳分局等按职责分工负责）</w:t>
      </w:r>
    </w:p>
    <w:p w14:paraId="163DB816">
      <w:pPr>
        <w:spacing w:line="520" w:lineRule="exact"/>
        <w:ind w:firstLine="640"/>
        <w:rPr>
          <w:rStyle w:val="110"/>
          <w:rFonts w:ascii="Times New Roman" w:eastAsia="仿宋_GB2312"/>
        </w:rPr>
      </w:pPr>
      <w:bookmarkStart w:id="137" w:name="OLE_LINK43"/>
      <w:bookmarkStart w:id="138" w:name="OLE_LINK42"/>
      <w:r>
        <w:rPr>
          <w:rFonts w:hint="eastAsia" w:ascii="Times New Roman" w:eastAsia="仿宋_GB2312"/>
          <w:bCs/>
        </w:rPr>
        <w:t>（</w:t>
      </w:r>
      <w:r>
        <w:rPr>
          <w:bCs/>
        </w:rPr>
        <w:t>3</w:t>
      </w:r>
      <w:r>
        <w:rPr>
          <w:rFonts w:hint="eastAsia"/>
          <w:bCs/>
        </w:rPr>
        <w:t>）提升新污染物治理能力。持续</w:t>
      </w:r>
      <w:r>
        <w:rPr>
          <w:rStyle w:val="233"/>
          <w:rFonts w:hint="eastAsia"/>
        </w:rPr>
        <w:t>开展化学物质环境信息调查工作，识别重点管控新污染物的主要排放源，落实“一品一策”管控措施。加强抗菌药品临床应用和销售管理，</w:t>
      </w:r>
      <w:bookmarkEnd w:id="137"/>
      <w:bookmarkEnd w:id="138"/>
      <w:r>
        <w:rPr>
          <w:rStyle w:val="233"/>
          <w:rFonts w:hint="eastAsia"/>
        </w:rPr>
        <w:t>研究推动居民家庭废药品回收。实施</w:t>
      </w:r>
      <w:r>
        <w:rPr>
          <w:rFonts w:hint="eastAsia"/>
          <w:bCs/>
        </w:rPr>
        <w:t>兽用抗菌药使用减量化行动，开展兽药质量监督抽检、动物源细菌耐药性监测。严格管控高毒高风险农药及助剂，推广应用高效低风险农药，开展农药使用风险隐患排查。</w:t>
      </w:r>
      <w:r>
        <w:rPr>
          <w:rStyle w:val="110"/>
          <w:rFonts w:hint="eastAsia"/>
          <w:szCs w:val="32"/>
        </w:rPr>
        <w:t>（区生态环境局、区卫健委、区市场监管局、区城管委、区农业农村局、区园林绿化局等按职责分工负责）</w:t>
      </w:r>
    </w:p>
    <w:p w14:paraId="1FA43876">
      <w:pPr>
        <w:widowControl/>
        <w:adjustRightInd/>
        <w:snapToGrid/>
        <w:spacing w:line="240" w:lineRule="auto"/>
        <w:ind w:firstLine="0" w:firstLineChars="0"/>
        <w:jc w:val="left"/>
        <w:rPr>
          <w:rFonts w:ascii="仿宋_GB2312" w:cstheme="majorBidi"/>
          <w:b/>
          <w:bCs/>
          <w:szCs w:val="32"/>
        </w:rPr>
      </w:pPr>
      <w:r>
        <w:rPr>
          <w:rFonts w:ascii="仿宋_GB2312"/>
          <w:b/>
        </w:rPr>
        <w:br w:type="page"/>
      </w:r>
    </w:p>
    <w:p w14:paraId="470146FB">
      <w:pPr>
        <w:pStyle w:val="3"/>
        <w:spacing w:line="520" w:lineRule="exact"/>
        <w:rPr>
          <w:rFonts w:ascii="仿宋_GB2312" w:eastAsia="仿宋_GB2312"/>
          <w:b/>
        </w:rPr>
      </w:pPr>
      <w:bookmarkStart w:id="139" w:name="_Toc23441"/>
      <w:r>
        <w:rPr>
          <w:rFonts w:hint="eastAsia" w:ascii="仿宋_GB2312" w:eastAsia="仿宋_GB2312"/>
          <w:b/>
        </w:rPr>
        <w:t>（五）加强农林固废和污泥高效利用</w:t>
      </w:r>
      <w:bookmarkEnd w:id="139"/>
    </w:p>
    <w:p w14:paraId="7AFE304A">
      <w:pPr>
        <w:pStyle w:val="4"/>
        <w:spacing w:line="520" w:lineRule="exact"/>
        <w:ind w:firstLine="643" w:firstLineChars="200"/>
      </w:pPr>
      <w:bookmarkStart w:id="140" w:name="_Toc8116"/>
      <w:r>
        <w:t>1.</w:t>
      </w:r>
      <w:r>
        <w:rPr>
          <w:rFonts w:hint="eastAsia"/>
        </w:rPr>
        <w:t>加强技术推广，强化秸秆还田和综合利用</w:t>
      </w:r>
      <w:bookmarkEnd w:id="140"/>
    </w:p>
    <w:p w14:paraId="048F9001">
      <w:pPr>
        <w:spacing w:line="520" w:lineRule="exact"/>
        <w:ind w:firstLine="640"/>
        <w:rPr>
          <w:szCs w:val="32"/>
        </w:rPr>
      </w:pPr>
      <w:r>
        <w:rPr>
          <w:rFonts w:hint="eastAsia"/>
          <w:szCs w:val="32"/>
        </w:rPr>
        <w:t>（</w:t>
      </w:r>
      <w:r>
        <w:rPr>
          <w:szCs w:val="32"/>
        </w:rPr>
        <w:t>1</w:t>
      </w:r>
      <w:r>
        <w:rPr>
          <w:rFonts w:hint="eastAsia"/>
          <w:szCs w:val="32"/>
        </w:rPr>
        <w:t>）强化统筹谋划和台账管理。加强农作物秸秆综合利用工作的统筹谋划，制定年度秸秆综合利用实施方案。按照“涉农乡、国有农场填报</w:t>
      </w:r>
      <w:r>
        <w:rPr>
          <w:szCs w:val="32"/>
        </w:rPr>
        <w:t>-</w:t>
      </w:r>
      <w:r>
        <w:rPr>
          <w:rFonts w:hint="eastAsia"/>
          <w:szCs w:val="32"/>
        </w:rPr>
        <w:t>区农业农村综合服务中心核查</w:t>
      </w:r>
      <w:r>
        <w:rPr>
          <w:szCs w:val="32"/>
        </w:rPr>
        <w:t>-</w:t>
      </w:r>
      <w:r>
        <w:rPr>
          <w:rFonts w:hint="eastAsia"/>
          <w:szCs w:val="32"/>
        </w:rPr>
        <w:t>区农业农村局复核”管理模式，不断强化秸秆资源台账管理。</w:t>
      </w:r>
      <w:r>
        <w:rPr>
          <w:rFonts w:hint="eastAsia" w:ascii="楷体_GB2312" w:eastAsia="楷体_GB2312"/>
          <w:szCs w:val="32"/>
        </w:rPr>
        <w:t>（区农业农村局负责）</w:t>
      </w:r>
    </w:p>
    <w:p w14:paraId="1294396D">
      <w:pPr>
        <w:spacing w:line="520" w:lineRule="exact"/>
        <w:ind w:firstLine="640"/>
        <w:rPr>
          <w:szCs w:val="32"/>
        </w:rPr>
      </w:pPr>
      <w:r>
        <w:rPr>
          <w:rFonts w:hint="eastAsia"/>
          <w:szCs w:val="32"/>
        </w:rPr>
        <w:t>（</w:t>
      </w:r>
      <w:r>
        <w:rPr>
          <w:szCs w:val="32"/>
        </w:rPr>
        <w:t>2</w:t>
      </w:r>
      <w:r>
        <w:rPr>
          <w:rFonts w:hint="eastAsia"/>
          <w:szCs w:val="32"/>
        </w:rPr>
        <w:t>）推进秸秆规范还田和综合利用。指导督促各涉农地区、国有农场规范进行秸秆还田作业。</w:t>
      </w:r>
      <w:r>
        <w:rPr>
          <w:rFonts w:hint="eastAsia"/>
          <w:bCs/>
          <w:szCs w:val="32"/>
        </w:rPr>
        <w:t>加大秸秆还田新技术应用力度，重点推广秸秆粉碎还田、腐熟还田、蔬菜茎蔓添加益生快腐菌打碎直接还田等技术。加强对秸秆综合利用技术的科普宣传，引导农业生产主体结合生产实际探索新技术，拓展综合利用范畴，推动秸秆综合利用水平提升。到</w:t>
      </w:r>
      <w:r>
        <w:rPr>
          <w:bCs/>
          <w:szCs w:val="32"/>
        </w:rPr>
        <w:t>2027</w:t>
      </w:r>
      <w:r>
        <w:rPr>
          <w:rFonts w:hint="eastAsia"/>
          <w:bCs/>
          <w:szCs w:val="32"/>
        </w:rPr>
        <w:t>年，全区秸秆综合利用率稳定在</w:t>
      </w:r>
      <w:r>
        <w:rPr>
          <w:rFonts w:hint="eastAsia"/>
          <w:bCs/>
          <w:szCs w:val="32"/>
          <w:lang w:val="en-US" w:eastAsia="zh-CN"/>
        </w:rPr>
        <w:t>X</w:t>
      </w:r>
      <w:r>
        <w:rPr>
          <w:bCs/>
          <w:szCs w:val="32"/>
        </w:rPr>
        <w:t>%</w:t>
      </w:r>
      <w:r>
        <w:rPr>
          <w:rFonts w:hint="eastAsia"/>
          <w:bCs/>
          <w:szCs w:val="32"/>
        </w:rPr>
        <w:t>，到</w:t>
      </w:r>
      <w:r>
        <w:rPr>
          <w:bCs/>
          <w:szCs w:val="32"/>
        </w:rPr>
        <w:t>2030</w:t>
      </w:r>
      <w:r>
        <w:rPr>
          <w:rFonts w:hint="eastAsia"/>
          <w:bCs/>
          <w:szCs w:val="32"/>
        </w:rPr>
        <w:t>年，全区秸秆综合利用率稳定在</w:t>
      </w:r>
      <w:r>
        <w:rPr>
          <w:rFonts w:hint="eastAsia"/>
          <w:bCs/>
          <w:szCs w:val="32"/>
          <w:lang w:val="en-US" w:eastAsia="zh-CN"/>
        </w:rPr>
        <w:t>X</w:t>
      </w:r>
      <w:r>
        <w:rPr>
          <w:bCs/>
          <w:szCs w:val="32"/>
        </w:rPr>
        <w:t>%</w:t>
      </w:r>
      <w:r>
        <w:rPr>
          <w:rFonts w:hint="eastAsia"/>
          <w:bCs/>
          <w:szCs w:val="32"/>
        </w:rPr>
        <w:t>。</w:t>
      </w:r>
      <w:r>
        <w:rPr>
          <w:rFonts w:hint="eastAsia" w:ascii="楷体_GB2312" w:eastAsia="楷体_GB2312"/>
          <w:szCs w:val="32"/>
        </w:rPr>
        <w:t>（区农业农村局负责）</w:t>
      </w:r>
    </w:p>
    <w:p w14:paraId="5B6BD3E0">
      <w:pPr>
        <w:pStyle w:val="4"/>
        <w:spacing w:line="520" w:lineRule="exact"/>
        <w:ind w:firstLine="643" w:firstLineChars="200"/>
      </w:pPr>
      <w:bookmarkStart w:id="141" w:name="_Toc28506"/>
      <w:r>
        <w:t>2.</w:t>
      </w:r>
      <w:r>
        <w:rPr>
          <w:rFonts w:hint="eastAsia"/>
        </w:rPr>
        <w:t>落实主体责任，促进农林固废回收利用</w:t>
      </w:r>
      <w:bookmarkEnd w:id="141"/>
    </w:p>
    <w:p w14:paraId="52AC2AF1">
      <w:pPr>
        <w:spacing w:line="520" w:lineRule="exact"/>
        <w:ind w:firstLine="640"/>
        <w:rPr>
          <w:bCs/>
          <w:szCs w:val="32"/>
        </w:rPr>
      </w:pPr>
      <w:r>
        <w:rPr>
          <w:rFonts w:hint="eastAsia"/>
          <w:bCs/>
          <w:szCs w:val="32"/>
        </w:rPr>
        <w:t>（</w:t>
      </w:r>
      <w:r>
        <w:rPr>
          <w:bCs/>
          <w:szCs w:val="32"/>
        </w:rPr>
        <w:t>1</w:t>
      </w:r>
      <w:r>
        <w:rPr>
          <w:rFonts w:hint="eastAsia"/>
          <w:bCs/>
          <w:szCs w:val="32"/>
        </w:rPr>
        <w:t>）加强农业投入品减量与替代。推广加厚高强度地膜，示范应用全生物降解地膜。到</w:t>
      </w:r>
      <w:r>
        <w:rPr>
          <w:bCs/>
          <w:szCs w:val="32"/>
        </w:rPr>
        <w:t>2027</w:t>
      </w:r>
      <w:r>
        <w:rPr>
          <w:rFonts w:hint="eastAsia"/>
          <w:bCs/>
          <w:szCs w:val="32"/>
        </w:rPr>
        <w:t>年，降解农膜年使用面积不低于</w:t>
      </w:r>
      <w:r>
        <w:rPr>
          <w:rFonts w:hint="eastAsia"/>
          <w:bCs/>
          <w:szCs w:val="32"/>
          <w:lang w:val="en-US" w:eastAsia="zh-CN"/>
        </w:rPr>
        <w:t>X</w:t>
      </w:r>
      <w:r>
        <w:rPr>
          <w:rFonts w:hint="eastAsia"/>
          <w:bCs/>
          <w:szCs w:val="32"/>
        </w:rPr>
        <w:t>亩，到</w:t>
      </w:r>
      <w:r>
        <w:rPr>
          <w:bCs/>
          <w:szCs w:val="32"/>
        </w:rPr>
        <w:t>2030</w:t>
      </w:r>
      <w:r>
        <w:rPr>
          <w:rFonts w:hint="eastAsia"/>
          <w:bCs/>
          <w:szCs w:val="32"/>
        </w:rPr>
        <w:t>年，降解农膜年使用面积不低于</w:t>
      </w:r>
      <w:r>
        <w:rPr>
          <w:rFonts w:hint="eastAsia"/>
          <w:bCs/>
          <w:szCs w:val="32"/>
          <w:lang w:val="en-US" w:eastAsia="zh-CN"/>
        </w:rPr>
        <w:t>X</w:t>
      </w:r>
      <w:r>
        <w:rPr>
          <w:rFonts w:hint="eastAsia"/>
          <w:bCs/>
          <w:szCs w:val="32"/>
        </w:rPr>
        <w:t>亩。深入实施农药减量控害，推进统防统治与绿色防控，加快高效环保农药和先进植保机械应用。推动药瓶清洗、大包装农药使用，减少农药包装废弃物产生与污染。</w:t>
      </w:r>
      <w:r>
        <w:rPr>
          <w:rStyle w:val="110"/>
          <w:rFonts w:hint="eastAsia"/>
          <w:bCs/>
          <w:szCs w:val="32"/>
        </w:rPr>
        <w:t>（区农业农村局负责）</w:t>
      </w:r>
    </w:p>
    <w:p w14:paraId="31F82EFA">
      <w:pPr>
        <w:spacing w:line="520" w:lineRule="exact"/>
        <w:ind w:firstLine="640"/>
        <w:rPr>
          <w:rStyle w:val="110"/>
          <w:bCs/>
          <w:szCs w:val="32"/>
        </w:rPr>
      </w:pPr>
      <w:r>
        <w:rPr>
          <w:rFonts w:hint="eastAsia" w:ascii="Times New Roman" w:eastAsia="仿宋_GB2312"/>
          <w:bCs/>
          <w:szCs w:val="32"/>
        </w:rPr>
        <w:t>（</w:t>
      </w:r>
      <w:r>
        <w:rPr>
          <w:bCs/>
          <w:szCs w:val="32"/>
        </w:rPr>
        <w:t>2</w:t>
      </w:r>
      <w:r>
        <w:rPr>
          <w:rFonts w:hint="eastAsia"/>
          <w:bCs/>
          <w:szCs w:val="32"/>
        </w:rPr>
        <w:t>）强化农业固体废物的回收处置。示范应用高收净率残膜回收机械。进一步完善现有农膜、农药包装废弃物等农业固体废物的回收机制，提高</w:t>
      </w:r>
      <w:r>
        <w:rPr>
          <w:rFonts w:hint="eastAsia"/>
          <w:szCs w:val="32"/>
        </w:rPr>
        <w:t>各种植园区回收积极性</w:t>
      </w:r>
      <w:r>
        <w:rPr>
          <w:rFonts w:hint="eastAsia"/>
          <w:bCs/>
          <w:szCs w:val="32"/>
        </w:rPr>
        <w:t>。积极开展化肥农药包装物、废弃育苗盘、废弃节水灌溉材料等农用塑料回收试点建设，按照“谁生产、经营，谁回收”的原则，明确全区农药生产者、经营者包装废弃物回收处置责任。加强对农药包装废弃物的去向监管，确保最终得到无害化处置。到</w:t>
      </w:r>
      <w:r>
        <w:rPr>
          <w:bCs/>
          <w:szCs w:val="32"/>
        </w:rPr>
        <w:t>2027</w:t>
      </w:r>
      <w:r>
        <w:rPr>
          <w:rFonts w:hint="eastAsia"/>
          <w:bCs/>
          <w:szCs w:val="32"/>
        </w:rPr>
        <w:t>年，全区农膜、农药包装废弃物回收率均达到</w:t>
      </w:r>
      <w:r>
        <w:rPr>
          <w:rFonts w:hint="eastAsia"/>
          <w:bCs/>
          <w:szCs w:val="32"/>
          <w:lang w:val="en-US" w:eastAsia="zh-CN"/>
        </w:rPr>
        <w:t>X</w:t>
      </w:r>
      <w:r>
        <w:rPr>
          <w:bCs/>
          <w:szCs w:val="32"/>
        </w:rPr>
        <w:t>%</w:t>
      </w:r>
      <w:r>
        <w:rPr>
          <w:rFonts w:hint="eastAsia"/>
          <w:bCs/>
          <w:szCs w:val="32"/>
        </w:rPr>
        <w:t>，到</w:t>
      </w:r>
      <w:r>
        <w:rPr>
          <w:bCs/>
          <w:szCs w:val="32"/>
        </w:rPr>
        <w:t>2030</w:t>
      </w:r>
      <w:r>
        <w:rPr>
          <w:rFonts w:hint="eastAsia"/>
          <w:bCs/>
          <w:szCs w:val="32"/>
        </w:rPr>
        <w:t>年，全区农膜、农药包装废弃物回收率均达到</w:t>
      </w:r>
      <w:r>
        <w:rPr>
          <w:rFonts w:hint="eastAsia"/>
          <w:bCs/>
          <w:szCs w:val="32"/>
          <w:lang w:val="en-US" w:eastAsia="zh-CN"/>
        </w:rPr>
        <w:t>X</w:t>
      </w:r>
      <w:r>
        <w:rPr>
          <w:bCs/>
          <w:szCs w:val="32"/>
        </w:rPr>
        <w:t>%</w:t>
      </w:r>
      <w:r>
        <w:rPr>
          <w:rFonts w:hint="eastAsia"/>
          <w:bCs/>
          <w:szCs w:val="32"/>
        </w:rPr>
        <w:t>。</w:t>
      </w:r>
      <w:r>
        <w:rPr>
          <w:rStyle w:val="110"/>
          <w:rFonts w:hint="eastAsia"/>
          <w:bCs/>
          <w:szCs w:val="32"/>
        </w:rPr>
        <w:t>（区农业农村局负责）</w:t>
      </w:r>
    </w:p>
    <w:p w14:paraId="192EF4FB">
      <w:pPr>
        <w:spacing w:line="520" w:lineRule="exact"/>
        <w:ind w:firstLine="640"/>
        <w:rPr>
          <w:rStyle w:val="110"/>
          <w:bCs/>
          <w:szCs w:val="32"/>
        </w:rPr>
      </w:pPr>
      <w:r>
        <w:rPr>
          <w:rFonts w:hint="eastAsia" w:ascii="Times New Roman" w:eastAsia="仿宋_GB2312"/>
          <w:szCs w:val="32"/>
        </w:rPr>
        <w:t>（</w:t>
      </w:r>
      <w:r>
        <w:rPr>
          <w:szCs w:val="32"/>
        </w:rPr>
        <w:t>3</w:t>
      </w:r>
      <w:r>
        <w:rPr>
          <w:rFonts w:hint="eastAsia"/>
          <w:szCs w:val="32"/>
        </w:rPr>
        <w:t>）加强园林绿化废弃物的全量利用。持续推动园林绿化废弃物资源化利用技术研究和推广应用，宣传园林绿化废弃物资源化利用成效。健全收集利用处置体系，推动平原生态林、公园园林绿化废弃物“不出林”“不出园”。鼓励大型公园、公共绿地建设就地资源化处理设施，推广望和公园减量理念，创意利用园林废弃物。</w:t>
      </w:r>
      <w:r>
        <w:rPr>
          <w:rStyle w:val="110"/>
          <w:rFonts w:hint="eastAsia"/>
          <w:bCs/>
          <w:szCs w:val="32"/>
        </w:rPr>
        <w:t>（区园林绿化局负责）</w:t>
      </w:r>
    </w:p>
    <w:p w14:paraId="3978F197">
      <w:pPr>
        <w:pStyle w:val="4"/>
        <w:spacing w:line="520" w:lineRule="exact"/>
        <w:ind w:firstLine="643" w:firstLineChars="200"/>
        <w:rPr>
          <w:bCs w:val="0"/>
        </w:rPr>
      </w:pPr>
      <w:bookmarkStart w:id="142" w:name="_Toc31721"/>
      <w:r>
        <w:rPr>
          <w:bCs w:val="0"/>
        </w:rPr>
        <w:t>3.</w:t>
      </w:r>
      <w:r>
        <w:rPr>
          <w:rFonts w:hint="eastAsia"/>
          <w:bCs w:val="0"/>
        </w:rPr>
        <w:t>探索利用途径，推动污泥高效利用</w:t>
      </w:r>
      <w:bookmarkEnd w:id="142"/>
    </w:p>
    <w:p w14:paraId="6FD8EE5E">
      <w:pPr>
        <w:spacing w:line="520" w:lineRule="exact"/>
        <w:ind w:firstLine="640"/>
        <w:rPr>
          <w:rStyle w:val="110"/>
          <w:b w:val="0"/>
          <w:bCs w:val="0"/>
          <w:szCs w:val="32"/>
        </w:rPr>
      </w:pPr>
      <w:r>
        <w:rPr>
          <w:rFonts w:hint="eastAsia" w:ascii="Times New Roman" w:eastAsia="仿宋_GB2312"/>
          <w:szCs w:val="32"/>
        </w:rPr>
        <w:t>（</w:t>
      </w:r>
      <w:r>
        <w:rPr>
          <w:szCs w:val="32"/>
        </w:rPr>
        <w:t>1</w:t>
      </w:r>
      <w:r>
        <w:rPr>
          <w:rFonts w:hint="eastAsia"/>
          <w:szCs w:val="32"/>
        </w:rPr>
        <w:t>）探索污泥资源化利用途径。推动污泥与生活垃圾、厨余垃圾协调处理，鼓励将城镇生活污水处理厂产生的污泥作为肥料或土壤改良剂，用于国土绿化、园林建设。引导污泥产品本地资源化利用，提升本地资源化利用率。</w:t>
      </w:r>
      <w:r>
        <w:rPr>
          <w:rStyle w:val="110"/>
          <w:rFonts w:hint="eastAsia"/>
          <w:bCs/>
          <w:szCs w:val="32"/>
        </w:rPr>
        <w:t>（区城管委、区园林绿化局、北京城市排水集团有限责任公司等按职责分工负责）</w:t>
      </w:r>
    </w:p>
    <w:bookmarkEnd w:id="67"/>
    <w:bookmarkEnd w:id="68"/>
    <w:bookmarkEnd w:id="69"/>
    <w:bookmarkEnd w:id="70"/>
    <w:bookmarkEnd w:id="129"/>
    <w:bookmarkEnd w:id="132"/>
    <w:p w14:paraId="58C327ED">
      <w:pPr>
        <w:widowControl/>
        <w:adjustRightInd/>
        <w:snapToGrid/>
        <w:spacing w:line="240" w:lineRule="auto"/>
        <w:ind w:firstLine="0" w:firstLineChars="0"/>
        <w:jc w:val="left"/>
        <w:rPr>
          <w:rFonts w:ascii="仿宋_GB2312" w:cstheme="majorBidi"/>
          <w:b/>
          <w:bCs/>
          <w:szCs w:val="32"/>
        </w:rPr>
      </w:pPr>
      <w:bookmarkStart w:id="143" w:name="_Toc214980737"/>
      <w:r>
        <w:rPr>
          <w:rFonts w:ascii="仿宋_GB2312"/>
          <w:b/>
        </w:rPr>
        <w:br w:type="page"/>
      </w:r>
    </w:p>
    <w:p w14:paraId="3BD10EA4">
      <w:pPr>
        <w:pStyle w:val="3"/>
        <w:spacing w:line="520" w:lineRule="exact"/>
        <w:rPr>
          <w:rFonts w:ascii="仿宋_GB2312" w:eastAsia="仿宋_GB2312"/>
          <w:b/>
          <w:color w:val="FF0000"/>
        </w:rPr>
      </w:pPr>
      <w:bookmarkStart w:id="144" w:name="_Toc13485"/>
      <w:r>
        <w:rPr>
          <w:rFonts w:hint="eastAsia" w:ascii="仿宋_GB2312" w:eastAsia="仿宋_GB2312"/>
          <w:b/>
        </w:rPr>
        <w:t>（六）打造朝阳区“无废城市”建设“1+</w:t>
      </w:r>
      <w:r>
        <w:rPr>
          <w:rFonts w:ascii="仿宋_GB2312" w:eastAsia="仿宋_GB2312"/>
          <w:b/>
        </w:rPr>
        <w:t>N</w:t>
      </w:r>
      <w:r>
        <w:rPr>
          <w:rFonts w:hint="eastAsia" w:ascii="仿宋_GB2312" w:eastAsia="仿宋_GB2312"/>
          <w:b/>
        </w:rPr>
        <w:t>”特色模式</w:t>
      </w:r>
      <w:bookmarkEnd w:id="144"/>
    </w:p>
    <w:p w14:paraId="5E2B72EE">
      <w:pPr>
        <w:pStyle w:val="4"/>
        <w:spacing w:line="520" w:lineRule="exact"/>
        <w:ind w:firstLine="643" w:firstLineChars="200"/>
      </w:pPr>
      <w:bookmarkStart w:id="145" w:name="_Toc15419"/>
      <w:r>
        <w:t>1.</w:t>
      </w:r>
      <w:r>
        <w:rPr>
          <w:rFonts w:hint="eastAsia"/>
        </w:rPr>
        <w:t>探索一区一园“无废城市”建设新模式</w:t>
      </w:r>
      <w:bookmarkEnd w:id="145"/>
    </w:p>
    <w:p w14:paraId="43E50DFF">
      <w:pPr>
        <w:spacing w:line="520" w:lineRule="exact"/>
        <w:ind w:firstLine="640"/>
        <w:rPr>
          <w:color w:val="FF0000"/>
        </w:rPr>
      </w:pPr>
      <w:r>
        <w:rPr>
          <w:rFonts w:hint="eastAsia"/>
        </w:rPr>
        <w:t>（</w:t>
      </w:r>
      <w:r>
        <w:t>1</w:t>
      </w:r>
      <w:r>
        <w:rPr>
          <w:rFonts w:hint="eastAsia"/>
        </w:rPr>
        <w:t>）加快设施协同布局，夯实园区资源代谢基础。优化朝阳循环经济产业园处理设施及处理能力，进一步提升园区综合处理能力，增强城市废弃物终端保障能力。完成有机固渣协同改造，推动厨余垃圾沼渣、焚烧残渣协同处置机制常态化运行，落实炉渣与建筑垃圾资源化工厂的协同生产路径，促进再生建材规模化应用。开展飞灰资源化利用技术攻关与工程示范，提高危险废物综合利用水平。建设分拣中心，实现再生资源精细分选，提高资源化利用率。</w:t>
      </w:r>
      <w:r>
        <w:rPr>
          <w:rFonts w:hint="eastAsia" w:ascii="楷体_GB2312" w:eastAsia="楷体_GB2312"/>
          <w:szCs w:val="32"/>
        </w:rPr>
        <w:t>（区城管委、区住建委等按职责分工负责）</w:t>
      </w:r>
    </w:p>
    <w:p w14:paraId="4556BAF1">
      <w:pPr>
        <w:spacing w:line="520" w:lineRule="exact"/>
        <w:ind w:firstLine="640"/>
      </w:pPr>
      <w:r>
        <w:rPr>
          <w:rFonts w:hint="eastAsia"/>
        </w:rPr>
        <w:t>（</w:t>
      </w:r>
      <w:r>
        <w:t>2</w:t>
      </w:r>
      <w:r>
        <w:rPr>
          <w:rFonts w:hint="eastAsia"/>
        </w:rPr>
        <w:t>）深化能源系统优化，构建多能互补低碳体系。推进园区屋顶分布式光伏发电系统全面建设，提升清洁能源自给比例。深化垃圾焚烧余热高效利用，研究探索向周边区域提供工业蒸汽或清洁供暖的可行性，扩大能源梯级利用范围。推动沼气综合利用升级改造，提升沼气收集率与能源转化效率，强化甲烷排放控制。逐步形成“三能（光伏发电、焚烧发电、沼气发电）</w:t>
      </w:r>
      <w:r>
        <w:t>+</w:t>
      </w:r>
      <w:r>
        <w:rPr>
          <w:rFonts w:hint="eastAsia"/>
        </w:rPr>
        <w:t>二源（可再生能源、新能源）</w:t>
      </w:r>
      <w:r>
        <w:t>+</w:t>
      </w:r>
      <w:r>
        <w:rPr>
          <w:rFonts w:hint="eastAsia"/>
        </w:rPr>
        <w:t>三量（容量、数量、质量）”的多能互补模式，加速推动园区能源结构向节能低碳转型。</w:t>
      </w:r>
      <w:r>
        <w:rPr>
          <w:rFonts w:hint="eastAsia" w:ascii="楷体_GB2312" w:eastAsia="楷体_GB2312"/>
          <w:szCs w:val="32"/>
        </w:rPr>
        <w:t>（区城管委、区发改委等按职责分工负责）</w:t>
      </w:r>
    </w:p>
    <w:p w14:paraId="2B4E7815">
      <w:pPr>
        <w:spacing w:line="520" w:lineRule="exact"/>
        <w:ind w:firstLine="640"/>
        <w:rPr>
          <w:rFonts w:ascii="楷体_GB2312" w:eastAsia="楷体_GB2312"/>
          <w:szCs w:val="32"/>
        </w:rPr>
      </w:pPr>
      <w:r>
        <w:rPr>
          <w:rFonts w:hint="eastAsia"/>
        </w:rPr>
        <w:t>（</w:t>
      </w:r>
      <w:r>
        <w:t>3</w:t>
      </w:r>
      <w:r>
        <w:rPr>
          <w:rFonts w:hint="eastAsia"/>
        </w:rPr>
        <w:t>）完善智慧管理平台，提升全过程精准管控能力。持续优化“无废园区大脑”功能，深化大数据、物联网技术在废物计量、流向监控、设施调度中的应用。推进</w:t>
      </w:r>
      <w:r>
        <w:t>AI</w:t>
      </w:r>
      <w:r>
        <w:rPr>
          <w:rFonts w:hint="eastAsia"/>
        </w:rPr>
        <w:t>焚烧控制系统在全园的深化应用与算法优化，实现燃烧效率与污染控制的协同优化。建立完善园区级碳排放监测统计体系，逐步实现碳足迹的全流程信息化追踪与精准管理。</w:t>
      </w:r>
      <w:r>
        <w:t xml:space="preserve"> </w:t>
      </w:r>
      <w:r>
        <w:rPr>
          <w:rFonts w:hint="eastAsia" w:ascii="楷体_GB2312" w:eastAsia="楷体_GB2312"/>
          <w:szCs w:val="32"/>
        </w:rPr>
        <w:t>（区城管委）</w:t>
      </w:r>
    </w:p>
    <w:p w14:paraId="45FFB3A5">
      <w:pPr>
        <w:pStyle w:val="4"/>
        <w:spacing w:line="520" w:lineRule="exact"/>
        <w:ind w:firstLine="643" w:firstLineChars="200"/>
      </w:pPr>
      <w:bookmarkStart w:id="146" w:name="_Toc26736"/>
      <w:r>
        <w:t>2.</w:t>
      </w:r>
      <w:r>
        <w:rPr>
          <w:rFonts w:hint="eastAsia"/>
        </w:rPr>
        <w:t>培育“无废城市细胞”精品工程</w:t>
      </w:r>
      <w:bookmarkEnd w:id="146"/>
    </w:p>
    <w:p w14:paraId="7D9BABDC">
      <w:pPr>
        <w:spacing w:line="520" w:lineRule="exact"/>
        <w:ind w:firstLine="640"/>
        <w:rPr>
          <w:szCs w:val="32"/>
        </w:rPr>
      </w:pPr>
      <w:r>
        <w:rPr>
          <w:rFonts w:hint="eastAsia"/>
          <w:szCs w:val="32"/>
        </w:rPr>
        <w:t>（</w:t>
      </w:r>
      <w:r>
        <w:rPr>
          <w:szCs w:val="32"/>
        </w:rPr>
        <w:t>1</w:t>
      </w:r>
      <w:r>
        <w:rPr>
          <w:rFonts w:hint="eastAsia"/>
          <w:szCs w:val="32"/>
        </w:rPr>
        <w:t>）</w:t>
      </w:r>
      <w:r>
        <w:rPr>
          <w:rFonts w:hint="eastAsia"/>
        </w:rPr>
        <w:t>完善顶层设计。</w:t>
      </w:r>
      <w:r>
        <w:rPr>
          <w:rFonts w:hint="eastAsia"/>
          <w:szCs w:val="32"/>
        </w:rPr>
        <w:t>以“减量化、资源化、无害化”为核心原则，研究制定覆盖多场景的《北京市朝阳区“无废城市细胞”建设指南》。针对街区、园区、学校、医院等不同主体，明确其在固体废物源头减量、分类投放、资源化利用、规范处置等方面的管理要求，形成一套科学规范、特色鲜明、可操作性强的“无废城市细胞”建设标准体系</w:t>
      </w:r>
      <w:r>
        <w:rPr>
          <w:rFonts w:hint="eastAsia" w:ascii="楷体_GB2312" w:eastAsia="楷体_GB2312"/>
          <w:szCs w:val="32"/>
        </w:rPr>
        <w:t>（区生态环境局负责）</w:t>
      </w:r>
    </w:p>
    <w:p w14:paraId="581D1ED7">
      <w:pPr>
        <w:spacing w:line="520" w:lineRule="exact"/>
        <w:ind w:firstLine="640"/>
        <w:rPr>
          <w:rFonts w:ascii="仿宋_GB2312"/>
          <w:szCs w:val="32"/>
        </w:rPr>
      </w:pPr>
      <w:r>
        <w:rPr>
          <w:rFonts w:hint="eastAsia"/>
          <w:szCs w:val="32"/>
        </w:rPr>
        <w:t>（</w:t>
      </w:r>
      <w:r>
        <w:rPr>
          <w:szCs w:val="32"/>
        </w:rPr>
        <w:t>2</w:t>
      </w:r>
      <w:r>
        <w:rPr>
          <w:rFonts w:hint="eastAsia"/>
          <w:szCs w:val="32"/>
        </w:rPr>
        <w:t>）</w:t>
      </w:r>
      <w:r>
        <w:rPr>
          <w:rFonts w:hint="eastAsia" w:ascii="仿宋_GB2312"/>
          <w:szCs w:val="32"/>
        </w:rPr>
        <w:t>坚持试点先行与全面推广相结合。选取基础条件好、积极性高的单位作为首批“无废城市细胞”培育试点，打造一批示范精品工程。到</w:t>
      </w:r>
      <w:r>
        <w:rPr>
          <w:szCs w:val="32"/>
        </w:rPr>
        <w:t>2027</w:t>
      </w:r>
      <w:r>
        <w:rPr>
          <w:rFonts w:hint="eastAsia"/>
          <w:szCs w:val="32"/>
        </w:rPr>
        <w:t>年，建设不少于</w:t>
      </w:r>
      <w:r>
        <w:rPr>
          <w:rFonts w:hint="eastAsia"/>
          <w:szCs w:val="32"/>
          <w:lang w:val="en-US" w:eastAsia="zh-CN"/>
        </w:rPr>
        <w:t>X</w:t>
      </w:r>
      <w:r>
        <w:rPr>
          <w:rFonts w:hint="eastAsia"/>
          <w:szCs w:val="32"/>
        </w:rPr>
        <w:t>个</w:t>
      </w:r>
      <w:r>
        <w:rPr>
          <w:rFonts w:hint="eastAsia" w:ascii="仿宋_GB2312"/>
          <w:szCs w:val="32"/>
        </w:rPr>
        <w:t>“无废城市细胞”，到</w:t>
      </w:r>
      <w:r>
        <w:rPr>
          <w:szCs w:val="32"/>
        </w:rPr>
        <w:t>2030</w:t>
      </w:r>
      <w:r>
        <w:rPr>
          <w:rFonts w:hint="eastAsia"/>
          <w:szCs w:val="32"/>
        </w:rPr>
        <w:t>年</w:t>
      </w:r>
      <w:r>
        <w:rPr>
          <w:rFonts w:hint="eastAsia" w:ascii="仿宋_GB2312"/>
          <w:szCs w:val="32"/>
        </w:rPr>
        <w:t>，</w:t>
      </w:r>
      <w:r>
        <w:rPr>
          <w:rFonts w:hint="eastAsia"/>
          <w:szCs w:val="32"/>
        </w:rPr>
        <w:t>建设不少于</w:t>
      </w:r>
      <w:r>
        <w:rPr>
          <w:rFonts w:hint="eastAsia"/>
          <w:szCs w:val="32"/>
          <w:lang w:val="en-US" w:eastAsia="zh-CN"/>
        </w:rPr>
        <w:t>X</w:t>
      </w:r>
      <w:r>
        <w:rPr>
          <w:rFonts w:hint="eastAsia"/>
          <w:szCs w:val="32"/>
        </w:rPr>
        <w:t>个“无废城市细胞”。</w:t>
      </w:r>
      <w:r>
        <w:rPr>
          <w:rFonts w:hint="eastAsia" w:ascii="楷体_GB2312" w:eastAsia="楷体_GB2312"/>
          <w:szCs w:val="32"/>
        </w:rPr>
        <w:t>（区生态环境局、区城管委、区商务局、区教委、区卫健委、中关村朝阳园管委会（区科信局）等按职责分工负责）</w:t>
      </w:r>
    </w:p>
    <w:p w14:paraId="70350B20">
      <w:pPr>
        <w:pStyle w:val="4"/>
        <w:spacing w:line="520" w:lineRule="exact"/>
        <w:ind w:firstLine="643" w:firstLineChars="200"/>
      </w:pPr>
      <w:bookmarkStart w:id="147" w:name="_Toc20965"/>
      <w:r>
        <w:t>3.</w:t>
      </w:r>
      <w:r>
        <w:rPr>
          <w:rFonts w:hint="eastAsia"/>
        </w:rPr>
        <w:t>打造“无废数字朝阳”管理新模式</w:t>
      </w:r>
      <w:bookmarkEnd w:id="147"/>
    </w:p>
    <w:p w14:paraId="3DF8AF7B">
      <w:pPr>
        <w:spacing w:line="520" w:lineRule="exact"/>
        <w:ind w:firstLine="640"/>
        <w:rPr>
          <w:rFonts w:ascii="楷体_GB2312" w:eastAsia="楷体_GB2312"/>
          <w:szCs w:val="32"/>
        </w:rPr>
      </w:pPr>
      <w:r>
        <w:rPr>
          <w:rFonts w:hint="eastAsia"/>
          <w:szCs w:val="32"/>
        </w:rPr>
        <w:t>（</w:t>
      </w:r>
      <w:r>
        <w:rPr>
          <w:szCs w:val="32"/>
        </w:rPr>
        <w:t>1</w:t>
      </w:r>
      <w:r>
        <w:rPr>
          <w:rFonts w:hint="eastAsia"/>
          <w:szCs w:val="32"/>
        </w:rPr>
        <w:t>）打造固体废物管</w:t>
      </w:r>
      <w:r>
        <w:rPr>
          <w:rFonts w:hint="eastAsia" w:ascii="仿宋_GB2312"/>
          <w:szCs w:val="32"/>
        </w:rPr>
        <w:t>理“一张网”。</w:t>
      </w:r>
      <w:r>
        <w:rPr>
          <w:rFonts w:hint="eastAsia"/>
          <w:szCs w:val="32"/>
        </w:rPr>
        <w:t>积极优化集成固体废物信息，通过整合，打通生态环境、交通、城管、卫健等多部门数据壁垒，建立工业固体废物、生活垃圾、建筑垃圾、农业废弃物、危险废物（医疗废物）等固体废物的产生、收集、转运、贮存、处置全环节数据共享机制，推动跨部门协同，形成高效监管格局和服务模式。</w:t>
      </w:r>
      <w:r>
        <w:rPr>
          <w:rFonts w:hint="eastAsia" w:ascii="楷体_GB2312" w:eastAsia="楷体_GB2312"/>
          <w:szCs w:val="32"/>
        </w:rPr>
        <w:t>（区生态环境局、区城管委、区住建委、区农业农村局、市交通委朝阳运输管理分局、区卫健委等按职责分工负责）</w:t>
      </w:r>
    </w:p>
    <w:p w14:paraId="0870C80C">
      <w:pPr>
        <w:spacing w:line="520" w:lineRule="exact"/>
        <w:ind w:firstLine="640"/>
        <w:rPr>
          <w:rFonts w:ascii="楷体_GB2312" w:eastAsia="楷体_GB2312"/>
          <w:szCs w:val="32"/>
        </w:rPr>
      </w:pPr>
      <w:r>
        <w:rPr>
          <w:rFonts w:hint="eastAsia"/>
          <w:szCs w:val="32"/>
        </w:rPr>
        <w:t>（</w:t>
      </w:r>
      <w:r>
        <w:rPr>
          <w:szCs w:val="32"/>
        </w:rPr>
        <w:t>2</w:t>
      </w:r>
      <w:r>
        <w:rPr>
          <w:rFonts w:hint="eastAsia"/>
          <w:szCs w:val="32"/>
        </w:rPr>
        <w:t>）提升非现场监管水平。以建筑垃圾、危险废物为重点，通过数字化监管手段，综合运用卫星遥感等技术手段，开展远程智能监管。实现风险预警、精准溯源，严厉打击非法倾倒、违规处置等违法行为，大幅提升监管效能与环境安全保障水平。（</w:t>
      </w:r>
      <w:r>
        <w:rPr>
          <w:rFonts w:hint="eastAsia" w:ascii="楷体_GB2312" w:eastAsia="楷体_GB2312"/>
          <w:szCs w:val="32"/>
        </w:rPr>
        <w:t>区生态环境局、区住建委、区城管委等按职责分工负责）</w:t>
      </w:r>
    </w:p>
    <w:p w14:paraId="69B716F9">
      <w:pPr>
        <w:pStyle w:val="4"/>
        <w:spacing w:line="520" w:lineRule="exact"/>
        <w:ind w:firstLine="643" w:firstLineChars="200"/>
      </w:pPr>
      <w:bookmarkStart w:id="148" w:name="_Toc26420"/>
      <w:r>
        <w:t>4.</w:t>
      </w:r>
      <w:r>
        <w:rPr>
          <w:rFonts w:hint="eastAsia"/>
        </w:rPr>
        <w:t>打造彰显“无废文化”的全球会客厅</w:t>
      </w:r>
      <w:bookmarkEnd w:id="148"/>
    </w:p>
    <w:p w14:paraId="2FF94B83">
      <w:pPr>
        <w:spacing w:line="520" w:lineRule="exact"/>
        <w:ind w:firstLine="640"/>
        <w:rPr>
          <w:szCs w:val="32"/>
        </w:rPr>
      </w:pPr>
      <w:r>
        <w:rPr>
          <w:rFonts w:hint="eastAsia"/>
          <w:szCs w:val="32"/>
        </w:rPr>
        <w:t>（</w:t>
      </w:r>
      <w:r>
        <w:rPr>
          <w:szCs w:val="32"/>
        </w:rPr>
        <w:t>1</w:t>
      </w:r>
      <w:r>
        <w:rPr>
          <w:rFonts w:hint="eastAsia"/>
          <w:szCs w:val="32"/>
        </w:rPr>
        <w:t>）深挖朝阳特色，激活全民参与热情。挖掘“朝阳特色</w:t>
      </w:r>
      <w:r>
        <w:rPr>
          <w:szCs w:val="32"/>
        </w:rPr>
        <w:t>IP</w:t>
      </w:r>
      <w:r>
        <w:rPr>
          <w:rFonts w:hint="eastAsia"/>
          <w:szCs w:val="32"/>
        </w:rPr>
        <w:t>”</w:t>
      </w:r>
      <w:r>
        <w:rPr>
          <w:rFonts w:hint="eastAsia" w:ascii="仿宋_GB2312"/>
          <w:szCs w:val="32"/>
        </w:rPr>
        <w:t>等本地案例，加强“无废文化”宣传。</w:t>
      </w:r>
      <w:r>
        <w:rPr>
          <w:rFonts w:hint="eastAsia"/>
          <w:szCs w:val="32"/>
        </w:rPr>
        <w:t>定期举办“无废开放日”，邀请市民参观垃圾利用处置设施，增强人民群众参与感。</w:t>
      </w:r>
      <w:r>
        <w:rPr>
          <w:rFonts w:hint="eastAsia" w:ascii="楷体_GB2312" w:eastAsia="楷体_GB2312"/>
          <w:szCs w:val="32"/>
        </w:rPr>
        <w:t>（区生态环境局、区城管委、区教委等按职责分工负责）</w:t>
      </w:r>
    </w:p>
    <w:p w14:paraId="09D2C080">
      <w:pPr>
        <w:spacing w:line="520" w:lineRule="exact"/>
        <w:ind w:firstLine="640"/>
        <w:rPr>
          <w:szCs w:val="32"/>
        </w:rPr>
      </w:pPr>
      <w:r>
        <w:rPr>
          <w:rFonts w:hint="eastAsia"/>
          <w:szCs w:val="32"/>
        </w:rPr>
        <w:t>（</w:t>
      </w:r>
      <w:r>
        <w:rPr>
          <w:szCs w:val="32"/>
        </w:rPr>
        <w:t>2</w:t>
      </w:r>
      <w:r>
        <w:rPr>
          <w:rFonts w:hint="eastAsia"/>
          <w:szCs w:val="32"/>
        </w:rPr>
        <w:t>）加强对外交流，打造“无废文化”品牌。推介朝阳区“无废城市”建设成果经验，加强“无废文化”沟通交流。</w:t>
      </w:r>
      <w:r>
        <w:rPr>
          <w:rFonts w:hint="eastAsia" w:ascii="楷体_GB2312" w:eastAsia="楷体_GB2312"/>
          <w:szCs w:val="32"/>
        </w:rPr>
        <w:t>（区生态环境局、区教委、中关村朝阳园管委会（区科信局）等按职责分工负责）</w:t>
      </w:r>
    </w:p>
    <w:p w14:paraId="752FB528">
      <w:pPr>
        <w:spacing w:line="520" w:lineRule="exact"/>
        <w:ind w:firstLine="640"/>
        <w:rPr>
          <w:rFonts w:ascii="楷体_GB2312" w:eastAsia="楷体_GB2312"/>
          <w:szCs w:val="32"/>
        </w:rPr>
      </w:pPr>
      <w:r>
        <w:rPr>
          <w:rFonts w:hint="eastAsia"/>
          <w:szCs w:val="32"/>
        </w:rPr>
        <w:t>（</w:t>
      </w:r>
      <w:r>
        <w:rPr>
          <w:szCs w:val="32"/>
        </w:rPr>
        <w:t>3</w:t>
      </w:r>
      <w:r>
        <w:rPr>
          <w:rFonts w:hint="eastAsia"/>
          <w:szCs w:val="32"/>
        </w:rPr>
        <w:t>）加强组织协调，讲好朝阳“无废”故事。积极争取</w:t>
      </w:r>
      <w:r>
        <w:rPr>
          <w:szCs w:val="32"/>
        </w:rPr>
        <w:t xml:space="preserve"> </w:t>
      </w:r>
      <w:r>
        <w:rPr>
          <w:rFonts w:hint="eastAsia"/>
          <w:szCs w:val="32"/>
        </w:rPr>
        <w:t>“无废城市”建设相关支持资金，加强“无废文化”宣传资金保障。鼓励企业通过“公益</w:t>
      </w:r>
      <w:r>
        <w:rPr>
          <w:szCs w:val="32"/>
        </w:rPr>
        <w:t>+</w:t>
      </w:r>
      <w:r>
        <w:rPr>
          <w:rFonts w:hint="eastAsia"/>
          <w:szCs w:val="32"/>
        </w:rPr>
        <w:t>商业”模式参与“无废文化”宣传。每年开展“无废城市”建设知晓度及满意度调查，根据反馈动态优化宣传内容与活动。广泛宣</w:t>
      </w:r>
      <w:r>
        <w:rPr>
          <w:rFonts w:hint="eastAsia" w:ascii="仿宋_GB2312"/>
          <w:szCs w:val="32"/>
        </w:rPr>
        <w:t>传“无废城市细胞”的</w:t>
      </w:r>
      <w:r>
        <w:rPr>
          <w:rFonts w:hint="eastAsia"/>
          <w:szCs w:val="32"/>
        </w:rPr>
        <w:t>先进经验与典型模式，及时总结提炼朝阳区“无废城市”建设成果，强化本土化叙事，讲好“朝阳无废故事”。</w:t>
      </w:r>
      <w:r>
        <w:rPr>
          <w:rFonts w:hint="eastAsia" w:ascii="楷体_GB2312" w:eastAsia="楷体_GB2312"/>
          <w:szCs w:val="32"/>
        </w:rPr>
        <w:t>（区财政局、区生态环境局等按职责分工负责）</w:t>
      </w:r>
    </w:p>
    <w:p w14:paraId="64FC2A1E">
      <w:pPr>
        <w:pStyle w:val="4"/>
        <w:spacing w:line="520" w:lineRule="exact"/>
        <w:ind w:firstLine="643" w:firstLineChars="200"/>
        <w:rPr>
          <w:rFonts w:ascii="楷体_GB2312" w:eastAsia="楷体_GB2312"/>
          <w:szCs w:val="32"/>
        </w:rPr>
      </w:pPr>
      <w:bookmarkStart w:id="149" w:name="_Toc7793"/>
      <w:r>
        <w:rPr>
          <w:rFonts w:ascii="楷体_GB2312" w:eastAsia="楷体_GB2312"/>
          <w:b/>
          <w:bCs/>
        </w:rPr>
        <w:t>5.</w:t>
      </w:r>
      <w:r>
        <w:rPr>
          <w:rFonts w:hint="eastAsia"/>
        </w:rPr>
        <w:t>培育数智创新的</w:t>
      </w:r>
      <w:r>
        <w:rPr>
          <w:rFonts w:hint="eastAsia" w:ascii="楷体_GB2312" w:eastAsia="楷体_GB2312"/>
          <w:b/>
          <w:bCs/>
        </w:rPr>
        <w:t>“无废”</w:t>
      </w:r>
      <w:r>
        <w:rPr>
          <w:rFonts w:hint="eastAsia"/>
        </w:rPr>
        <w:t>环保</w:t>
      </w:r>
      <w:r>
        <w:t>产业集群</w:t>
      </w:r>
      <w:bookmarkEnd w:id="149"/>
    </w:p>
    <w:p w14:paraId="62AE1C62">
      <w:pPr>
        <w:spacing w:line="520" w:lineRule="exact"/>
        <w:ind w:firstLine="640"/>
        <w:rPr>
          <w:szCs w:val="32"/>
        </w:rPr>
      </w:pPr>
      <w:r>
        <w:rPr>
          <w:rFonts w:hint="eastAsia" w:ascii="Times New Roman" w:eastAsia="仿宋_GB2312"/>
          <w:szCs w:val="32"/>
        </w:rPr>
        <w:t>（</w:t>
      </w:r>
      <w:r>
        <w:rPr>
          <w:rFonts w:ascii="Times New Roman" w:eastAsia="仿宋_GB2312"/>
          <w:szCs w:val="32"/>
        </w:rPr>
        <w:t>1</w:t>
      </w:r>
      <w:r>
        <w:rPr>
          <w:rFonts w:hint="eastAsia" w:ascii="Times New Roman" w:eastAsia="仿宋_GB2312"/>
          <w:szCs w:val="32"/>
        </w:rPr>
        <w:t>）</w:t>
      </w:r>
      <w:r>
        <w:rPr>
          <w:rFonts w:hint="eastAsia"/>
          <w:szCs w:val="32"/>
        </w:rPr>
        <w:t>强化</w:t>
      </w:r>
      <w:r>
        <w:rPr>
          <w:szCs w:val="32"/>
        </w:rPr>
        <w:t>技术</w:t>
      </w:r>
      <w:r>
        <w:rPr>
          <w:rFonts w:hint="eastAsia"/>
          <w:szCs w:val="32"/>
        </w:rPr>
        <w:t>创新与产业集成。充分发挥</w:t>
      </w:r>
      <w:r>
        <w:rPr>
          <w:rFonts w:hint="eastAsia" w:ascii="仿宋_GB2312"/>
        </w:rPr>
        <w:t>“</w:t>
      </w:r>
      <w:r>
        <w:t>3+N</w:t>
      </w:r>
      <w:r>
        <w:rPr>
          <w:rFonts w:hint="eastAsia" w:ascii="仿宋_GB2312"/>
        </w:rPr>
        <w:t>”</w:t>
      </w:r>
      <w:r>
        <w:rPr>
          <w:rFonts w:hint="eastAsia"/>
        </w:rPr>
        <w:t>朝阳数智环保产业发展联合体的引领作用，通过政府引导、科研支撑、行业赋能、企业实践的深度融合，聚焦传统环保产业与数字化、智能化的融合发展，推动固体废物回收利用处置关键技术工艺、设备研发及成果转化。依托朝阳循环经济产业园等应用场景，吸引和集聚一批掌握核心技术的环保科技企业，推动形成涵盖智慧环卫、低碳处理、资源循环的</w:t>
      </w:r>
      <w:r>
        <w:rPr>
          <w:rFonts w:hint="eastAsia" w:ascii="仿宋_GB2312"/>
        </w:rPr>
        <w:t>“无废”环保产业集群。</w:t>
      </w:r>
      <w:r>
        <w:rPr>
          <w:rFonts w:hint="eastAsia" w:ascii="楷体_GB2312" w:eastAsia="楷体_GB2312"/>
          <w:szCs w:val="32"/>
        </w:rPr>
        <w:t>（中关村朝阳园管委会（区科信局）、区生态环境局等按职责分工负责）</w:t>
      </w:r>
    </w:p>
    <w:p w14:paraId="76189975">
      <w:pPr>
        <w:spacing w:line="520" w:lineRule="exact"/>
        <w:ind w:firstLine="640"/>
      </w:pPr>
      <w:r>
        <w:rPr>
          <w:rFonts w:hint="eastAsia" w:ascii="Times New Roman"/>
          <w:szCs w:val="32"/>
        </w:rPr>
        <w:t>（</w:t>
      </w:r>
      <w:r>
        <w:rPr>
          <w:rFonts w:ascii="Times New Roman"/>
          <w:szCs w:val="32"/>
        </w:rPr>
        <w:t>2</w:t>
      </w:r>
      <w:r>
        <w:rPr>
          <w:rFonts w:hint="eastAsia" w:ascii="Times New Roman"/>
          <w:szCs w:val="32"/>
        </w:rPr>
        <w:t>）</w:t>
      </w:r>
      <w:r>
        <w:rPr>
          <w:rFonts w:hint="eastAsia"/>
        </w:rPr>
        <w:t>强化示范引领与</w:t>
      </w:r>
      <w:r>
        <w:t>模式输出</w:t>
      </w:r>
      <w:r>
        <w:rPr>
          <w:rFonts w:hint="eastAsia"/>
        </w:rPr>
        <w:t>。系统总结朝阳区优势环保企业在城市固体废物园区化协同处理处置、“水、固、气、能”综合解决方案、土壤修复等领域的成功经验，支持本土优势环保企</w:t>
      </w:r>
      <w:r>
        <w:rPr>
          <w:rFonts w:hint="eastAsia" w:ascii="仿宋_GB2312"/>
        </w:rPr>
        <w:t>业“走出去”，</w:t>
      </w:r>
      <w:r>
        <w:rPr>
          <w:rFonts w:hint="eastAsia"/>
        </w:rPr>
        <w:t>鼓励</w:t>
      </w:r>
      <w:r>
        <w:rPr>
          <w:rFonts w:hint="eastAsia"/>
          <w:highlight w:val="none"/>
        </w:rPr>
        <w:t>通过合作交流、技术推介等多种形式，输出生态环境保护“朝阳方案”。鼓励参与制定或修订相关技术规范或标准，培育具有竞争力的环保产业品牌</w:t>
      </w:r>
      <w:r>
        <w:rPr>
          <w:rFonts w:hint="eastAsia"/>
          <w:highlight w:val="none"/>
          <w:lang w:eastAsia="zh-CN"/>
        </w:rPr>
        <w:t>。</w:t>
      </w:r>
      <w:bookmarkStart w:id="170" w:name="_GoBack"/>
      <w:bookmarkEnd w:id="170"/>
      <w:r>
        <w:rPr>
          <w:rFonts w:hint="eastAsia" w:ascii="楷体_GB2312" w:eastAsia="楷体_GB2312"/>
          <w:szCs w:val="32"/>
          <w:highlight w:val="none"/>
        </w:rPr>
        <w:t>（中关村朝阳园管委会（区科信局）、区市场监管局、区生态环境局等按职责分工负责）</w:t>
      </w:r>
    </w:p>
    <w:p w14:paraId="5960C7E5">
      <w:pPr>
        <w:pStyle w:val="2"/>
        <w:spacing w:line="520" w:lineRule="exact"/>
        <w:jc w:val="both"/>
        <w:rPr>
          <w:szCs w:val="32"/>
        </w:rPr>
      </w:pPr>
      <w:bookmarkStart w:id="150" w:name="_Toc3759"/>
      <w:r>
        <w:rPr>
          <w:rFonts w:hint="eastAsia"/>
          <w:szCs w:val="32"/>
        </w:rPr>
        <w:t>五、保障措施</w:t>
      </w:r>
      <w:bookmarkEnd w:id="143"/>
      <w:bookmarkEnd w:id="150"/>
    </w:p>
    <w:p w14:paraId="70E18696">
      <w:pPr>
        <w:pStyle w:val="3"/>
        <w:spacing w:line="520" w:lineRule="exact"/>
        <w:ind w:firstLine="643" w:firstLineChars="200"/>
        <w:rPr>
          <w:rFonts w:ascii="仿宋_GB2312" w:eastAsia="仿宋_GB2312"/>
          <w:b/>
        </w:rPr>
      </w:pPr>
      <w:bookmarkStart w:id="151" w:name="_Toc102658616"/>
      <w:bookmarkStart w:id="152" w:name="_Toc77150336"/>
      <w:bookmarkStart w:id="153" w:name="_Toc81347807"/>
      <w:bookmarkStart w:id="154" w:name="_Toc81173974"/>
      <w:bookmarkStart w:id="155" w:name="_Toc214980738"/>
      <w:bookmarkStart w:id="156" w:name="_Toc77148517"/>
      <w:bookmarkStart w:id="157" w:name="_Toc18878"/>
      <w:r>
        <w:rPr>
          <w:rFonts w:hint="eastAsia" w:ascii="仿宋_GB2312" w:eastAsia="仿宋_GB2312"/>
          <w:b/>
        </w:rPr>
        <w:t>（一）加强组织领导</w:t>
      </w:r>
      <w:bookmarkEnd w:id="151"/>
      <w:bookmarkEnd w:id="152"/>
      <w:bookmarkEnd w:id="153"/>
      <w:bookmarkEnd w:id="154"/>
      <w:bookmarkEnd w:id="155"/>
      <w:bookmarkEnd w:id="156"/>
      <w:bookmarkEnd w:id="157"/>
    </w:p>
    <w:p w14:paraId="34B49752">
      <w:pPr>
        <w:spacing w:line="520" w:lineRule="exact"/>
        <w:ind w:firstLine="640"/>
        <w:rPr>
          <w:szCs w:val="32"/>
        </w:rPr>
      </w:pPr>
      <w:bookmarkStart w:id="158" w:name="_Toc81173975"/>
      <w:bookmarkStart w:id="159" w:name="_Toc77148518"/>
      <w:bookmarkStart w:id="160" w:name="_Toc77150337"/>
      <w:bookmarkStart w:id="161" w:name="_Toc102658617"/>
      <w:bookmarkStart w:id="162" w:name="_Toc81347808"/>
      <w:r>
        <w:rPr>
          <w:szCs w:val="32"/>
        </w:rPr>
        <w:t>1.</w:t>
      </w:r>
      <w:r>
        <w:rPr>
          <w:rFonts w:hint="eastAsia"/>
          <w:szCs w:val="32"/>
        </w:rPr>
        <w:t>在区生态文明委领导下，由区生态环境局统筹协调朝阳</w:t>
      </w:r>
      <w:r>
        <w:rPr>
          <w:rFonts w:hint="eastAsia" w:ascii="仿宋_GB2312"/>
          <w:szCs w:val="32"/>
        </w:rPr>
        <w:t>区“无废城市”建</w:t>
      </w:r>
      <w:r>
        <w:rPr>
          <w:rFonts w:hint="eastAsia"/>
          <w:szCs w:val="32"/>
        </w:rPr>
        <w:t>设工作，制定年度工作目标，推动各重点任务按计划落实，并组织</w:t>
      </w:r>
      <w:r>
        <w:rPr>
          <w:rFonts w:hint="eastAsia" w:ascii="仿宋_GB2312"/>
          <w:szCs w:val="32"/>
        </w:rPr>
        <w:t>“无废城市”建设进展评价。各有关部门按照职责范围负责相应领域重</w:t>
      </w:r>
      <w:r>
        <w:rPr>
          <w:rFonts w:hint="eastAsia"/>
          <w:szCs w:val="32"/>
        </w:rPr>
        <w:t>点工作的组织、实施。</w:t>
      </w:r>
      <w:r>
        <w:rPr>
          <w:rStyle w:val="110"/>
          <w:rFonts w:hint="eastAsia"/>
          <w:szCs w:val="32"/>
        </w:rPr>
        <w:t>（各有关部门按职责分工负责）</w:t>
      </w:r>
    </w:p>
    <w:p w14:paraId="19612914">
      <w:pPr>
        <w:spacing w:line="520" w:lineRule="exact"/>
        <w:ind w:firstLine="640"/>
        <w:rPr>
          <w:szCs w:val="32"/>
        </w:rPr>
      </w:pPr>
      <w:r>
        <w:rPr>
          <w:szCs w:val="32"/>
        </w:rPr>
        <w:t>2.</w:t>
      </w:r>
      <w:r>
        <w:rPr>
          <w:rFonts w:hint="eastAsia" w:ascii="仿宋_GB2312"/>
          <w:szCs w:val="32"/>
        </w:rPr>
        <w:t>将“无废城市”建</w:t>
      </w:r>
      <w:r>
        <w:rPr>
          <w:rFonts w:hint="eastAsia"/>
          <w:szCs w:val="32"/>
        </w:rPr>
        <w:t>设指标与任务完成情况纳入各部门年度考核内容，确保指标与任务按期高质量完成。各有关部门要按照方案的责任清单和建设任务清单开展各项工作。区生态环境局按照各项任务时间节点，定期调度任务进展情况。</w:t>
      </w:r>
      <w:bookmarkStart w:id="163" w:name="_Hlk215391913"/>
      <w:r>
        <w:rPr>
          <w:rStyle w:val="110"/>
          <w:rFonts w:hint="eastAsia"/>
          <w:szCs w:val="32"/>
        </w:rPr>
        <w:t>（各有关部门按职责分工负责）</w:t>
      </w:r>
      <w:bookmarkEnd w:id="163"/>
    </w:p>
    <w:p w14:paraId="43EE4CE5">
      <w:pPr>
        <w:pStyle w:val="3"/>
        <w:spacing w:line="520" w:lineRule="exact"/>
        <w:ind w:firstLine="643" w:firstLineChars="200"/>
        <w:rPr>
          <w:rFonts w:ascii="仿宋_GB2312" w:eastAsia="仿宋_GB2312"/>
          <w:b/>
        </w:rPr>
      </w:pPr>
      <w:bookmarkStart w:id="164" w:name="_Toc214980739"/>
      <w:bookmarkStart w:id="165" w:name="_Toc19495"/>
      <w:r>
        <w:rPr>
          <w:rFonts w:hint="eastAsia" w:ascii="仿宋_GB2312" w:eastAsia="仿宋_GB2312"/>
          <w:b/>
        </w:rPr>
        <w:t>（二）</w:t>
      </w:r>
      <w:bookmarkEnd w:id="164"/>
      <w:r>
        <w:rPr>
          <w:rFonts w:hint="eastAsia" w:ascii="仿宋_GB2312" w:eastAsia="仿宋_GB2312"/>
          <w:b/>
        </w:rPr>
        <w:t>落实资金保障</w:t>
      </w:r>
      <w:bookmarkEnd w:id="165"/>
    </w:p>
    <w:p w14:paraId="5C98B655">
      <w:pPr>
        <w:spacing w:line="520" w:lineRule="exact"/>
        <w:ind w:firstLine="640"/>
      </w:pPr>
      <w:r>
        <w:rPr>
          <w:szCs w:val="32"/>
        </w:rPr>
        <w:t>1.</w:t>
      </w:r>
      <w:r>
        <w:rPr>
          <w:rFonts w:hint="eastAsia" w:ascii="仿宋_GB2312"/>
          <w:szCs w:val="32"/>
        </w:rPr>
        <w:t>发挥政府在“无废城市”建设工作的核心作用，完善区级财政资金投入机制，强化资金统筹，优化支出结构，保障“无废城市”建设项目支出，提升财政资金投入的科学性、绩效性。争取将产业转型升级、绿色发展等“无废城市”建设项目列入到北京市重点项目中，争取市重点项目专项资金。</w:t>
      </w:r>
      <w:r>
        <w:rPr>
          <w:rStyle w:val="110"/>
          <w:rFonts w:hint="eastAsia"/>
          <w:szCs w:val="32"/>
        </w:rPr>
        <w:t>（区财政局、区发改委等按职责分工负责）</w:t>
      </w:r>
    </w:p>
    <w:p w14:paraId="64FF9958">
      <w:pPr>
        <w:spacing w:line="520" w:lineRule="exact"/>
        <w:ind w:firstLine="640"/>
        <w:rPr>
          <w:rStyle w:val="110"/>
          <w:szCs w:val="32"/>
        </w:rPr>
      </w:pPr>
      <w:r>
        <w:rPr>
          <w:rFonts w:ascii="Times New Roman" w:eastAsia="仿宋_GB2312"/>
        </w:rPr>
        <w:t>2.</w:t>
      </w:r>
      <w:r>
        <w:rPr>
          <w:rFonts w:hint="eastAsia" w:ascii="仿宋_GB2312"/>
        </w:rPr>
        <w:t>合理配置公共资源，拓宽融资渠道，撬动更多社会资本进入“无废城市”建设工作中，提升“无废城市”建设项目总投资金额。落实有利于固体废物资源化利用和无害化处置的税收、价格、收费政策。鼓励金融机构加大对“无废城市”建设的金融支持力度。加强“无废城市”建设的市场化投融资机制和商业模式探索，深化政银合作，更好发挥社会资本的市场配置作用，推进“无废城市”建设进程。</w:t>
      </w:r>
      <w:r>
        <w:rPr>
          <w:rStyle w:val="110"/>
          <w:rFonts w:hint="eastAsia"/>
          <w:szCs w:val="32"/>
        </w:rPr>
        <w:t>（各有关部门按职责分工负责）</w:t>
      </w:r>
      <w:bookmarkStart w:id="166" w:name="_Toc214980740"/>
    </w:p>
    <w:p w14:paraId="2B7BE0EF">
      <w:pPr>
        <w:pStyle w:val="3"/>
        <w:spacing w:line="520" w:lineRule="exact"/>
        <w:ind w:firstLine="643" w:firstLineChars="200"/>
        <w:rPr>
          <w:rFonts w:ascii="仿宋_GB2312" w:eastAsia="仿宋_GB2312"/>
          <w:b/>
        </w:rPr>
      </w:pPr>
      <w:bookmarkStart w:id="167" w:name="_Toc25951"/>
      <w:r>
        <w:rPr>
          <w:rFonts w:hint="eastAsia" w:ascii="仿宋_GB2312" w:eastAsia="仿宋_GB2312"/>
          <w:b/>
        </w:rPr>
        <w:t>（三）加强技术指导</w:t>
      </w:r>
      <w:bookmarkEnd w:id="166"/>
      <w:bookmarkEnd w:id="167"/>
    </w:p>
    <w:p w14:paraId="4A70E892">
      <w:pPr>
        <w:spacing w:line="520" w:lineRule="exact"/>
        <w:ind w:left="24" w:right="12" w:firstLine="640"/>
        <w:rPr>
          <w:rFonts w:eastAsia="楷体_GB2312"/>
          <w:szCs w:val="32"/>
        </w:rPr>
      </w:pPr>
      <w:r>
        <w:rPr>
          <w:szCs w:val="32"/>
        </w:rPr>
        <w:t>1</w:t>
      </w:r>
      <w:r>
        <w:rPr>
          <w:rFonts w:hint="eastAsia"/>
          <w:szCs w:val="32"/>
        </w:rPr>
        <w:t>．在低碳循环、清洁生产、生态绿色可持续产业等方面，自主研发、政府引进或鼓励支持高新技术，对高新技术企业予以倾斜。政府实施推广机制，举办生态环境科技成果博览会、招商会等，引导企业采用各类新技术、新工艺和新产品。</w:t>
      </w:r>
      <w:r>
        <w:rPr>
          <w:rStyle w:val="110"/>
          <w:rFonts w:hint="eastAsia"/>
          <w:szCs w:val="32"/>
        </w:rPr>
        <w:t>（各有关部门按职责分工负责）</w:t>
      </w:r>
    </w:p>
    <w:p w14:paraId="68970845">
      <w:pPr>
        <w:spacing w:line="520" w:lineRule="exact"/>
        <w:ind w:left="24" w:right="12" w:firstLine="640"/>
        <w:rPr>
          <w:szCs w:val="32"/>
        </w:rPr>
      </w:pPr>
      <w:r>
        <w:rPr>
          <w:szCs w:val="32"/>
        </w:rPr>
        <w:t xml:space="preserve">2. </w:t>
      </w:r>
      <w:r>
        <w:rPr>
          <w:rFonts w:hint="eastAsia"/>
          <w:szCs w:val="32"/>
        </w:rPr>
        <w:t>围绕优先发展的重点产业和重大科技攻关项目，切实加大高层次高技能人才的培养、引进和使用力度。推进新形势下生态环境保护人才队伍梯队建设。</w:t>
      </w:r>
      <w:r>
        <w:rPr>
          <w:rStyle w:val="110"/>
          <w:rFonts w:hint="eastAsia"/>
          <w:szCs w:val="32"/>
        </w:rPr>
        <w:t>（各有关部门按职责分工负责）</w:t>
      </w:r>
    </w:p>
    <w:p w14:paraId="05253A1A">
      <w:pPr>
        <w:pStyle w:val="3"/>
        <w:spacing w:line="520" w:lineRule="exact"/>
        <w:ind w:firstLine="643" w:firstLineChars="200"/>
        <w:rPr>
          <w:rFonts w:ascii="仿宋_GB2312" w:eastAsia="仿宋_GB2312"/>
          <w:b/>
        </w:rPr>
      </w:pPr>
      <w:bookmarkStart w:id="168" w:name="_Toc18132"/>
      <w:bookmarkStart w:id="169" w:name="_Toc214980741"/>
      <w:r>
        <w:rPr>
          <w:rFonts w:hint="eastAsia" w:ascii="仿宋_GB2312" w:eastAsia="仿宋_GB2312"/>
          <w:b/>
        </w:rPr>
        <w:t>（四）强化宣传引导</w:t>
      </w:r>
      <w:bookmarkEnd w:id="168"/>
      <w:bookmarkEnd w:id="169"/>
    </w:p>
    <w:p w14:paraId="0032B4AA">
      <w:pPr>
        <w:spacing w:line="520" w:lineRule="exact"/>
        <w:ind w:firstLine="640"/>
        <w:rPr>
          <w:szCs w:val="32"/>
        </w:rPr>
      </w:pPr>
      <w:r>
        <w:rPr>
          <w:szCs w:val="32"/>
        </w:rPr>
        <w:t>1.</w:t>
      </w:r>
      <w:r>
        <w:rPr>
          <w:rFonts w:hint="eastAsia"/>
          <w:szCs w:val="32"/>
        </w:rPr>
        <w:t>加大“无废城市”建设宣传，将广播、电视、网络新媒体等作为宣传媒介，多渠道，多形式、多层次的开展宣传，营造浓厚的宣传氛围。加强政策法规宣贯，通过政策解读、以案释法等方式，加大固体废物法律法规规章及政策文件宣贯流利度，督促企业落实固体废物污染防治主体责任。</w:t>
      </w:r>
      <w:r>
        <w:rPr>
          <w:rFonts w:hint="eastAsia" w:eastAsia="楷体_GB2312"/>
          <w:szCs w:val="32"/>
        </w:rPr>
        <w:t>（</w:t>
      </w:r>
      <w:r>
        <w:rPr>
          <w:rStyle w:val="110"/>
          <w:rFonts w:hint="eastAsia"/>
          <w:szCs w:val="32"/>
        </w:rPr>
        <w:t>各有关部门按职责分工负责</w:t>
      </w:r>
      <w:r>
        <w:rPr>
          <w:rFonts w:hint="eastAsia" w:eastAsia="楷体_GB2312"/>
          <w:szCs w:val="32"/>
        </w:rPr>
        <w:t>）</w:t>
      </w:r>
    </w:p>
    <w:p w14:paraId="09F7BAF6">
      <w:pPr>
        <w:spacing w:line="520" w:lineRule="exact"/>
        <w:ind w:firstLine="640"/>
        <w:rPr>
          <w:sz w:val="21"/>
          <w:szCs w:val="21"/>
        </w:rPr>
      </w:pPr>
      <w:r>
        <w:rPr>
          <w:szCs w:val="32"/>
        </w:rPr>
        <w:t>2.</w:t>
      </w:r>
      <w:r>
        <w:rPr>
          <w:rFonts w:hint="eastAsia"/>
          <w:szCs w:val="32"/>
        </w:rPr>
        <w:t>通过开展生态环境保护公益活动、会议会展等形式，宣传“无废”理念，推动践行绿色低碳生活方式，推进</w:t>
      </w:r>
      <w:r>
        <w:rPr>
          <w:szCs w:val="32"/>
        </w:rPr>
        <w:t xml:space="preserve"> </w:t>
      </w:r>
      <w:r>
        <w:rPr>
          <w:rFonts w:hint="eastAsia"/>
          <w:szCs w:val="32"/>
        </w:rPr>
        <w:t>“无废园区”“无废医院”“无废街区”“无废学校”等各类</w:t>
      </w:r>
      <w:r>
        <w:rPr>
          <w:rFonts w:hint="eastAsia" w:ascii="仿宋_GB2312"/>
          <w:szCs w:val="32"/>
        </w:rPr>
        <w:t>“无废城市细胞”的</w:t>
      </w:r>
      <w:r>
        <w:rPr>
          <w:rFonts w:hint="eastAsia"/>
          <w:szCs w:val="32"/>
        </w:rPr>
        <w:t>建设行动，提高群众对“无废城市”建设的参与度与满意度。</w:t>
      </w:r>
      <w:r>
        <w:rPr>
          <w:rFonts w:hint="eastAsia" w:eastAsia="楷体_GB2312"/>
          <w:szCs w:val="32"/>
        </w:rPr>
        <w:t>（</w:t>
      </w:r>
      <w:r>
        <w:rPr>
          <w:rStyle w:val="110"/>
          <w:rFonts w:hint="eastAsia"/>
          <w:szCs w:val="32"/>
        </w:rPr>
        <w:t>各有关部门按职责分工负责</w:t>
      </w:r>
      <w:r>
        <w:rPr>
          <w:rFonts w:hint="eastAsia" w:eastAsia="楷体_GB2312"/>
          <w:szCs w:val="32"/>
        </w:rPr>
        <w:t>）</w:t>
      </w:r>
      <w:bookmarkEnd w:id="158"/>
      <w:bookmarkEnd w:id="159"/>
      <w:bookmarkEnd w:id="160"/>
      <w:bookmarkEnd w:id="161"/>
      <w:bookmarkEnd w:id="162"/>
    </w:p>
    <w:sectPr>
      <w:pgSz w:w="11906" w:h="16838"/>
      <w:pgMar w:top="1440" w:right="1797" w:bottom="1440" w:left="1797"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2509558"/>
    </w:sdtPr>
    <w:sdtContent>
      <w:p w14:paraId="2EEC1DFC">
        <w:pPr>
          <w:pStyle w:val="20"/>
          <w:ind w:firstLine="360"/>
          <w:jc w:val="center"/>
        </w:pPr>
        <w:r>
          <w:fldChar w:fldCharType="begin"/>
        </w:r>
        <w:r>
          <w:instrText xml:space="preserve">PAGE   \* MERGEFORMAT</w:instrText>
        </w:r>
        <w:r>
          <w:fldChar w:fldCharType="separate"/>
        </w:r>
        <w:r>
          <w:rPr>
            <w:lang w:val="zh-CN"/>
          </w:rPr>
          <w:t>22</w:t>
        </w:r>
        <w:r>
          <w:fldChar w:fldCharType="end"/>
        </w:r>
      </w:p>
    </w:sdtContent>
  </w:sdt>
  <w:p w14:paraId="15E7E515">
    <w:pPr>
      <w:pStyle w:val="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674D2">
    <w:pPr>
      <w:pStyle w:val="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E2FBF">
    <w:pPr>
      <w:pStyle w:val="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B8E1B">
    <w:pPr>
      <w:pStyle w:val="21"/>
      <w:pBdr>
        <w:bottom w:val="none" w:color="auto" w:sz="0" w:space="0"/>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59B6F">
    <w:pPr>
      <w:pStyle w:val="2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98F0F">
    <w:pPr>
      <w:pStyle w:val="2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0"/>
      <w:lvlText w:val=""/>
      <w:lvlJc w:val="left"/>
      <w:pPr>
        <w:tabs>
          <w:tab w:val="left" w:pos="644"/>
        </w:tabs>
        <w:ind w:left="644" w:hanging="360" w:hangingChars="20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6FF"/>
    <w:rsid w:val="00000559"/>
    <w:rsid w:val="00002D2A"/>
    <w:rsid w:val="00024D40"/>
    <w:rsid w:val="00025334"/>
    <w:rsid w:val="00035075"/>
    <w:rsid w:val="00044AF4"/>
    <w:rsid w:val="00044DFE"/>
    <w:rsid w:val="00050DE2"/>
    <w:rsid w:val="000528FA"/>
    <w:rsid w:val="000542BE"/>
    <w:rsid w:val="0006452B"/>
    <w:rsid w:val="000645B1"/>
    <w:rsid w:val="00064760"/>
    <w:rsid w:val="0006790E"/>
    <w:rsid w:val="0007082B"/>
    <w:rsid w:val="00071AFF"/>
    <w:rsid w:val="00081FB1"/>
    <w:rsid w:val="000823BD"/>
    <w:rsid w:val="000823F0"/>
    <w:rsid w:val="00083C38"/>
    <w:rsid w:val="00085547"/>
    <w:rsid w:val="00085DFC"/>
    <w:rsid w:val="00092C46"/>
    <w:rsid w:val="0009516D"/>
    <w:rsid w:val="000959C1"/>
    <w:rsid w:val="000A3A0E"/>
    <w:rsid w:val="000A59D1"/>
    <w:rsid w:val="000A785D"/>
    <w:rsid w:val="000B005D"/>
    <w:rsid w:val="000B69AE"/>
    <w:rsid w:val="000B7823"/>
    <w:rsid w:val="000C2F11"/>
    <w:rsid w:val="000E2378"/>
    <w:rsid w:val="000E5235"/>
    <w:rsid w:val="000E66DB"/>
    <w:rsid w:val="000F0713"/>
    <w:rsid w:val="000F5366"/>
    <w:rsid w:val="001039B9"/>
    <w:rsid w:val="001050D2"/>
    <w:rsid w:val="001171EF"/>
    <w:rsid w:val="001202A2"/>
    <w:rsid w:val="00120F48"/>
    <w:rsid w:val="0012123C"/>
    <w:rsid w:val="0013189D"/>
    <w:rsid w:val="001325B7"/>
    <w:rsid w:val="001377AC"/>
    <w:rsid w:val="00141F32"/>
    <w:rsid w:val="001437E2"/>
    <w:rsid w:val="00143860"/>
    <w:rsid w:val="001473DF"/>
    <w:rsid w:val="001504D6"/>
    <w:rsid w:val="001509FE"/>
    <w:rsid w:val="0015417F"/>
    <w:rsid w:val="00155F3D"/>
    <w:rsid w:val="001573D3"/>
    <w:rsid w:val="0016111F"/>
    <w:rsid w:val="00166FDC"/>
    <w:rsid w:val="001714A0"/>
    <w:rsid w:val="001740D8"/>
    <w:rsid w:val="001766BD"/>
    <w:rsid w:val="00183692"/>
    <w:rsid w:val="00183CAA"/>
    <w:rsid w:val="00194863"/>
    <w:rsid w:val="00197469"/>
    <w:rsid w:val="001A1397"/>
    <w:rsid w:val="001A17DF"/>
    <w:rsid w:val="001A62A6"/>
    <w:rsid w:val="001A7347"/>
    <w:rsid w:val="001B0071"/>
    <w:rsid w:val="001B7555"/>
    <w:rsid w:val="001E0F13"/>
    <w:rsid w:val="001E15A3"/>
    <w:rsid w:val="001E1BDD"/>
    <w:rsid w:val="001E4A30"/>
    <w:rsid w:val="001E6717"/>
    <w:rsid w:val="001F4A4D"/>
    <w:rsid w:val="001F539A"/>
    <w:rsid w:val="00200A67"/>
    <w:rsid w:val="00203F0C"/>
    <w:rsid w:val="00206DB8"/>
    <w:rsid w:val="00206DC6"/>
    <w:rsid w:val="00212DD4"/>
    <w:rsid w:val="00216C1E"/>
    <w:rsid w:val="00220D17"/>
    <w:rsid w:val="00227680"/>
    <w:rsid w:val="002369F3"/>
    <w:rsid w:val="00241F74"/>
    <w:rsid w:val="00242013"/>
    <w:rsid w:val="0024473C"/>
    <w:rsid w:val="00251849"/>
    <w:rsid w:val="00253135"/>
    <w:rsid w:val="0025327B"/>
    <w:rsid w:val="00260B50"/>
    <w:rsid w:val="00265B5C"/>
    <w:rsid w:val="00265F2D"/>
    <w:rsid w:val="0026778A"/>
    <w:rsid w:val="0027096A"/>
    <w:rsid w:val="00286342"/>
    <w:rsid w:val="00287159"/>
    <w:rsid w:val="00287764"/>
    <w:rsid w:val="00287B97"/>
    <w:rsid w:val="002A160A"/>
    <w:rsid w:val="002A5BF3"/>
    <w:rsid w:val="002A71E8"/>
    <w:rsid w:val="002B3167"/>
    <w:rsid w:val="002C64E5"/>
    <w:rsid w:val="002C7C3B"/>
    <w:rsid w:val="002D5218"/>
    <w:rsid w:val="002D5331"/>
    <w:rsid w:val="002F1241"/>
    <w:rsid w:val="002F4E01"/>
    <w:rsid w:val="002F5627"/>
    <w:rsid w:val="0031342C"/>
    <w:rsid w:val="00315B10"/>
    <w:rsid w:val="00321F4C"/>
    <w:rsid w:val="00324B28"/>
    <w:rsid w:val="00334BDB"/>
    <w:rsid w:val="00363599"/>
    <w:rsid w:val="00372600"/>
    <w:rsid w:val="00373890"/>
    <w:rsid w:val="003765AD"/>
    <w:rsid w:val="00381496"/>
    <w:rsid w:val="003816D7"/>
    <w:rsid w:val="003869FC"/>
    <w:rsid w:val="00390C54"/>
    <w:rsid w:val="00392681"/>
    <w:rsid w:val="003A05CC"/>
    <w:rsid w:val="003A1AF2"/>
    <w:rsid w:val="003A246F"/>
    <w:rsid w:val="003B52B1"/>
    <w:rsid w:val="003B7160"/>
    <w:rsid w:val="003C39FD"/>
    <w:rsid w:val="003C4CAE"/>
    <w:rsid w:val="003C5B91"/>
    <w:rsid w:val="003C7EB2"/>
    <w:rsid w:val="003E701E"/>
    <w:rsid w:val="003F1FD8"/>
    <w:rsid w:val="003F2840"/>
    <w:rsid w:val="003F6F99"/>
    <w:rsid w:val="00402E3A"/>
    <w:rsid w:val="00402FB3"/>
    <w:rsid w:val="00403F86"/>
    <w:rsid w:val="00404BD6"/>
    <w:rsid w:val="00405613"/>
    <w:rsid w:val="004102FF"/>
    <w:rsid w:val="004143CC"/>
    <w:rsid w:val="00422EB0"/>
    <w:rsid w:val="00424CB6"/>
    <w:rsid w:val="00427F1A"/>
    <w:rsid w:val="00432751"/>
    <w:rsid w:val="004361D7"/>
    <w:rsid w:val="00441651"/>
    <w:rsid w:val="00442A27"/>
    <w:rsid w:val="00442A6D"/>
    <w:rsid w:val="00442ADB"/>
    <w:rsid w:val="00451D01"/>
    <w:rsid w:val="00460569"/>
    <w:rsid w:val="00461A14"/>
    <w:rsid w:val="00461E5A"/>
    <w:rsid w:val="004631FF"/>
    <w:rsid w:val="00470D4E"/>
    <w:rsid w:val="00471981"/>
    <w:rsid w:val="00472D5B"/>
    <w:rsid w:val="00476FA3"/>
    <w:rsid w:val="00480336"/>
    <w:rsid w:val="0048326E"/>
    <w:rsid w:val="00491134"/>
    <w:rsid w:val="004929E6"/>
    <w:rsid w:val="00493B29"/>
    <w:rsid w:val="004B2C02"/>
    <w:rsid w:val="004C53E5"/>
    <w:rsid w:val="004C730F"/>
    <w:rsid w:val="004D02D6"/>
    <w:rsid w:val="004D2C54"/>
    <w:rsid w:val="004D7A3F"/>
    <w:rsid w:val="004F1DBA"/>
    <w:rsid w:val="004F24D0"/>
    <w:rsid w:val="00500355"/>
    <w:rsid w:val="00500C09"/>
    <w:rsid w:val="0050117E"/>
    <w:rsid w:val="00507065"/>
    <w:rsid w:val="005077A8"/>
    <w:rsid w:val="00511180"/>
    <w:rsid w:val="005117FB"/>
    <w:rsid w:val="00516391"/>
    <w:rsid w:val="005164C4"/>
    <w:rsid w:val="005175EE"/>
    <w:rsid w:val="005209EC"/>
    <w:rsid w:val="00521164"/>
    <w:rsid w:val="005256D1"/>
    <w:rsid w:val="00525DCD"/>
    <w:rsid w:val="0052611F"/>
    <w:rsid w:val="005306AB"/>
    <w:rsid w:val="0053208E"/>
    <w:rsid w:val="005359E7"/>
    <w:rsid w:val="00536562"/>
    <w:rsid w:val="00536DF3"/>
    <w:rsid w:val="00545167"/>
    <w:rsid w:val="00546509"/>
    <w:rsid w:val="0054664D"/>
    <w:rsid w:val="00546920"/>
    <w:rsid w:val="00552DE7"/>
    <w:rsid w:val="0055669C"/>
    <w:rsid w:val="00557084"/>
    <w:rsid w:val="0056259E"/>
    <w:rsid w:val="00570B3F"/>
    <w:rsid w:val="00581EB0"/>
    <w:rsid w:val="005960BB"/>
    <w:rsid w:val="00596C3E"/>
    <w:rsid w:val="00596C60"/>
    <w:rsid w:val="00596F62"/>
    <w:rsid w:val="005A26FF"/>
    <w:rsid w:val="005C5BCC"/>
    <w:rsid w:val="005D5691"/>
    <w:rsid w:val="005F1922"/>
    <w:rsid w:val="005F1B93"/>
    <w:rsid w:val="005F2539"/>
    <w:rsid w:val="005F64DF"/>
    <w:rsid w:val="00600327"/>
    <w:rsid w:val="00600967"/>
    <w:rsid w:val="0060293E"/>
    <w:rsid w:val="006034AC"/>
    <w:rsid w:val="00603D86"/>
    <w:rsid w:val="006067AA"/>
    <w:rsid w:val="00606C49"/>
    <w:rsid w:val="006079FF"/>
    <w:rsid w:val="00607F52"/>
    <w:rsid w:val="006101D0"/>
    <w:rsid w:val="0061208B"/>
    <w:rsid w:val="00627022"/>
    <w:rsid w:val="00627F80"/>
    <w:rsid w:val="00631497"/>
    <w:rsid w:val="00632EAE"/>
    <w:rsid w:val="00633762"/>
    <w:rsid w:val="006346FD"/>
    <w:rsid w:val="00634BBE"/>
    <w:rsid w:val="00635B5E"/>
    <w:rsid w:val="0064281C"/>
    <w:rsid w:val="00646336"/>
    <w:rsid w:val="0065144C"/>
    <w:rsid w:val="0066433A"/>
    <w:rsid w:val="00664B14"/>
    <w:rsid w:val="00665EB2"/>
    <w:rsid w:val="006777D5"/>
    <w:rsid w:val="00680649"/>
    <w:rsid w:val="00684EC3"/>
    <w:rsid w:val="00685CB1"/>
    <w:rsid w:val="00685FDF"/>
    <w:rsid w:val="006860E6"/>
    <w:rsid w:val="0069031A"/>
    <w:rsid w:val="006923AB"/>
    <w:rsid w:val="00696CF2"/>
    <w:rsid w:val="006A47B0"/>
    <w:rsid w:val="006B74B7"/>
    <w:rsid w:val="006B75D4"/>
    <w:rsid w:val="006C0D63"/>
    <w:rsid w:val="006C6461"/>
    <w:rsid w:val="006D0CD2"/>
    <w:rsid w:val="006E185E"/>
    <w:rsid w:val="006E1CA7"/>
    <w:rsid w:val="006E238A"/>
    <w:rsid w:val="006E41A5"/>
    <w:rsid w:val="006E523C"/>
    <w:rsid w:val="006E6964"/>
    <w:rsid w:val="006E7E50"/>
    <w:rsid w:val="006F18D1"/>
    <w:rsid w:val="006F3602"/>
    <w:rsid w:val="00707DAC"/>
    <w:rsid w:val="007131BA"/>
    <w:rsid w:val="00716BB2"/>
    <w:rsid w:val="00721856"/>
    <w:rsid w:val="0072268B"/>
    <w:rsid w:val="007279E8"/>
    <w:rsid w:val="00731A5F"/>
    <w:rsid w:val="0073380B"/>
    <w:rsid w:val="00734D00"/>
    <w:rsid w:val="0073705C"/>
    <w:rsid w:val="007371F3"/>
    <w:rsid w:val="00740BEF"/>
    <w:rsid w:val="007410DC"/>
    <w:rsid w:val="00743FE0"/>
    <w:rsid w:val="00744A3B"/>
    <w:rsid w:val="00745042"/>
    <w:rsid w:val="0075167C"/>
    <w:rsid w:val="00761166"/>
    <w:rsid w:val="007636AC"/>
    <w:rsid w:val="00771846"/>
    <w:rsid w:val="00773FCA"/>
    <w:rsid w:val="007745C9"/>
    <w:rsid w:val="007823F7"/>
    <w:rsid w:val="0079493D"/>
    <w:rsid w:val="00794D70"/>
    <w:rsid w:val="00795DB7"/>
    <w:rsid w:val="007A5C2F"/>
    <w:rsid w:val="007A6322"/>
    <w:rsid w:val="007B25A2"/>
    <w:rsid w:val="007B319C"/>
    <w:rsid w:val="007C3216"/>
    <w:rsid w:val="007C7C01"/>
    <w:rsid w:val="007D2634"/>
    <w:rsid w:val="007D4DBE"/>
    <w:rsid w:val="007D64E6"/>
    <w:rsid w:val="007D6558"/>
    <w:rsid w:val="007D692D"/>
    <w:rsid w:val="007D6B25"/>
    <w:rsid w:val="007E0A2F"/>
    <w:rsid w:val="007E1360"/>
    <w:rsid w:val="007E2115"/>
    <w:rsid w:val="007E5F60"/>
    <w:rsid w:val="007F4DE6"/>
    <w:rsid w:val="007F4F09"/>
    <w:rsid w:val="007F5A2B"/>
    <w:rsid w:val="00806FA7"/>
    <w:rsid w:val="00807F02"/>
    <w:rsid w:val="00815B9D"/>
    <w:rsid w:val="00820EC6"/>
    <w:rsid w:val="0082221D"/>
    <w:rsid w:val="00822D2D"/>
    <w:rsid w:val="008237CD"/>
    <w:rsid w:val="00825BBE"/>
    <w:rsid w:val="00831AC9"/>
    <w:rsid w:val="00843CD8"/>
    <w:rsid w:val="00844599"/>
    <w:rsid w:val="00844E80"/>
    <w:rsid w:val="00845790"/>
    <w:rsid w:val="00850096"/>
    <w:rsid w:val="00850852"/>
    <w:rsid w:val="00850C7C"/>
    <w:rsid w:val="00856B4B"/>
    <w:rsid w:val="00856DAF"/>
    <w:rsid w:val="00862243"/>
    <w:rsid w:val="00867674"/>
    <w:rsid w:val="00867856"/>
    <w:rsid w:val="008739D0"/>
    <w:rsid w:val="00885552"/>
    <w:rsid w:val="00887DB4"/>
    <w:rsid w:val="008901C5"/>
    <w:rsid w:val="008A748A"/>
    <w:rsid w:val="008B3BCA"/>
    <w:rsid w:val="008C079A"/>
    <w:rsid w:val="008C70B5"/>
    <w:rsid w:val="008D2B15"/>
    <w:rsid w:val="008D7E27"/>
    <w:rsid w:val="008E084F"/>
    <w:rsid w:val="008E0AA9"/>
    <w:rsid w:val="008E3455"/>
    <w:rsid w:val="008E52BB"/>
    <w:rsid w:val="008E632A"/>
    <w:rsid w:val="008F0EE4"/>
    <w:rsid w:val="008F5247"/>
    <w:rsid w:val="0090306C"/>
    <w:rsid w:val="00903568"/>
    <w:rsid w:val="00907888"/>
    <w:rsid w:val="009113B9"/>
    <w:rsid w:val="00912B02"/>
    <w:rsid w:val="009130B5"/>
    <w:rsid w:val="009219E3"/>
    <w:rsid w:val="00921F81"/>
    <w:rsid w:val="009270C4"/>
    <w:rsid w:val="00935299"/>
    <w:rsid w:val="0093776B"/>
    <w:rsid w:val="00937D53"/>
    <w:rsid w:val="00941762"/>
    <w:rsid w:val="00943CE7"/>
    <w:rsid w:val="00943D86"/>
    <w:rsid w:val="00944C1B"/>
    <w:rsid w:val="00946116"/>
    <w:rsid w:val="00947453"/>
    <w:rsid w:val="00947520"/>
    <w:rsid w:val="00951A2A"/>
    <w:rsid w:val="009526A6"/>
    <w:rsid w:val="009663A7"/>
    <w:rsid w:val="009672DC"/>
    <w:rsid w:val="00967F3C"/>
    <w:rsid w:val="009742AD"/>
    <w:rsid w:val="009758DF"/>
    <w:rsid w:val="00975F1C"/>
    <w:rsid w:val="00980AB1"/>
    <w:rsid w:val="0098662B"/>
    <w:rsid w:val="00993954"/>
    <w:rsid w:val="0099726C"/>
    <w:rsid w:val="009A0341"/>
    <w:rsid w:val="009A2888"/>
    <w:rsid w:val="009A2DAB"/>
    <w:rsid w:val="009B2D7D"/>
    <w:rsid w:val="009C58D2"/>
    <w:rsid w:val="009D08E8"/>
    <w:rsid w:val="009D0AA8"/>
    <w:rsid w:val="009D2B1D"/>
    <w:rsid w:val="009E24FA"/>
    <w:rsid w:val="009E26AE"/>
    <w:rsid w:val="009E360D"/>
    <w:rsid w:val="009E7E04"/>
    <w:rsid w:val="009F4F6A"/>
    <w:rsid w:val="00A0234C"/>
    <w:rsid w:val="00A03CEC"/>
    <w:rsid w:val="00A14607"/>
    <w:rsid w:val="00A14CD2"/>
    <w:rsid w:val="00A164C7"/>
    <w:rsid w:val="00A25666"/>
    <w:rsid w:val="00A31FC9"/>
    <w:rsid w:val="00A36E81"/>
    <w:rsid w:val="00A44CA8"/>
    <w:rsid w:val="00A4731E"/>
    <w:rsid w:val="00A54323"/>
    <w:rsid w:val="00A54B3E"/>
    <w:rsid w:val="00A54C51"/>
    <w:rsid w:val="00A6157F"/>
    <w:rsid w:val="00A71DAD"/>
    <w:rsid w:val="00A72809"/>
    <w:rsid w:val="00A73BEF"/>
    <w:rsid w:val="00A747F3"/>
    <w:rsid w:val="00A7619A"/>
    <w:rsid w:val="00A82BB0"/>
    <w:rsid w:val="00A8367B"/>
    <w:rsid w:val="00A86A9A"/>
    <w:rsid w:val="00A87659"/>
    <w:rsid w:val="00A87BC2"/>
    <w:rsid w:val="00A9087D"/>
    <w:rsid w:val="00A92DD6"/>
    <w:rsid w:val="00A95496"/>
    <w:rsid w:val="00A95538"/>
    <w:rsid w:val="00A96AC0"/>
    <w:rsid w:val="00AA26F5"/>
    <w:rsid w:val="00AA3F18"/>
    <w:rsid w:val="00AA448C"/>
    <w:rsid w:val="00AB08ED"/>
    <w:rsid w:val="00AB7AFD"/>
    <w:rsid w:val="00AC25C7"/>
    <w:rsid w:val="00AC30C5"/>
    <w:rsid w:val="00AC4B3A"/>
    <w:rsid w:val="00AD01DA"/>
    <w:rsid w:val="00AD04D9"/>
    <w:rsid w:val="00AD2060"/>
    <w:rsid w:val="00AD5A07"/>
    <w:rsid w:val="00AD5F00"/>
    <w:rsid w:val="00AE622E"/>
    <w:rsid w:val="00AF3B0D"/>
    <w:rsid w:val="00AF3E54"/>
    <w:rsid w:val="00AF4C1F"/>
    <w:rsid w:val="00AF5646"/>
    <w:rsid w:val="00AF5DCA"/>
    <w:rsid w:val="00B03EF2"/>
    <w:rsid w:val="00B054B4"/>
    <w:rsid w:val="00B06A94"/>
    <w:rsid w:val="00B1225A"/>
    <w:rsid w:val="00B21A20"/>
    <w:rsid w:val="00B326D7"/>
    <w:rsid w:val="00B338AD"/>
    <w:rsid w:val="00B422C3"/>
    <w:rsid w:val="00B46B4D"/>
    <w:rsid w:val="00B506FB"/>
    <w:rsid w:val="00B6392E"/>
    <w:rsid w:val="00B64790"/>
    <w:rsid w:val="00B66547"/>
    <w:rsid w:val="00B732B2"/>
    <w:rsid w:val="00B74721"/>
    <w:rsid w:val="00B760A4"/>
    <w:rsid w:val="00B777CB"/>
    <w:rsid w:val="00B82282"/>
    <w:rsid w:val="00B86A76"/>
    <w:rsid w:val="00B86B7C"/>
    <w:rsid w:val="00B86F6D"/>
    <w:rsid w:val="00B95291"/>
    <w:rsid w:val="00BA14C8"/>
    <w:rsid w:val="00BA60CE"/>
    <w:rsid w:val="00BA701B"/>
    <w:rsid w:val="00BB10C0"/>
    <w:rsid w:val="00BB11C7"/>
    <w:rsid w:val="00BB44EA"/>
    <w:rsid w:val="00BC4B2A"/>
    <w:rsid w:val="00BC60E4"/>
    <w:rsid w:val="00BC6A49"/>
    <w:rsid w:val="00BC7024"/>
    <w:rsid w:val="00BD21AA"/>
    <w:rsid w:val="00BE3F97"/>
    <w:rsid w:val="00BE4243"/>
    <w:rsid w:val="00BE513C"/>
    <w:rsid w:val="00BF2518"/>
    <w:rsid w:val="00BF7487"/>
    <w:rsid w:val="00C0230D"/>
    <w:rsid w:val="00C171BE"/>
    <w:rsid w:val="00C26208"/>
    <w:rsid w:val="00C26965"/>
    <w:rsid w:val="00C26C83"/>
    <w:rsid w:val="00C31FB2"/>
    <w:rsid w:val="00C34465"/>
    <w:rsid w:val="00C35266"/>
    <w:rsid w:val="00C365A5"/>
    <w:rsid w:val="00C37593"/>
    <w:rsid w:val="00C57A0D"/>
    <w:rsid w:val="00C85BD5"/>
    <w:rsid w:val="00C86E8F"/>
    <w:rsid w:val="00C87344"/>
    <w:rsid w:val="00C933E1"/>
    <w:rsid w:val="00C9543C"/>
    <w:rsid w:val="00C95662"/>
    <w:rsid w:val="00C96229"/>
    <w:rsid w:val="00C97610"/>
    <w:rsid w:val="00C977CE"/>
    <w:rsid w:val="00CA7457"/>
    <w:rsid w:val="00CC56C8"/>
    <w:rsid w:val="00CC6BC3"/>
    <w:rsid w:val="00CD23CA"/>
    <w:rsid w:val="00CD5009"/>
    <w:rsid w:val="00CF04CA"/>
    <w:rsid w:val="00CF2BEC"/>
    <w:rsid w:val="00D03F0F"/>
    <w:rsid w:val="00D1316F"/>
    <w:rsid w:val="00D142F9"/>
    <w:rsid w:val="00D15C17"/>
    <w:rsid w:val="00D15EDD"/>
    <w:rsid w:val="00D240D4"/>
    <w:rsid w:val="00D241D7"/>
    <w:rsid w:val="00D30872"/>
    <w:rsid w:val="00D343EA"/>
    <w:rsid w:val="00D377C8"/>
    <w:rsid w:val="00D4032B"/>
    <w:rsid w:val="00D411B1"/>
    <w:rsid w:val="00D44DB2"/>
    <w:rsid w:val="00D4623A"/>
    <w:rsid w:val="00D53104"/>
    <w:rsid w:val="00D5389F"/>
    <w:rsid w:val="00D5462F"/>
    <w:rsid w:val="00D546C7"/>
    <w:rsid w:val="00D60D66"/>
    <w:rsid w:val="00D6381A"/>
    <w:rsid w:val="00D6386D"/>
    <w:rsid w:val="00D64874"/>
    <w:rsid w:val="00D65E41"/>
    <w:rsid w:val="00D677E3"/>
    <w:rsid w:val="00D70398"/>
    <w:rsid w:val="00D80E85"/>
    <w:rsid w:val="00D826B4"/>
    <w:rsid w:val="00D837AC"/>
    <w:rsid w:val="00D90FF7"/>
    <w:rsid w:val="00D9204E"/>
    <w:rsid w:val="00D92AF8"/>
    <w:rsid w:val="00D92BB1"/>
    <w:rsid w:val="00D94372"/>
    <w:rsid w:val="00D9560A"/>
    <w:rsid w:val="00DA0583"/>
    <w:rsid w:val="00DA2226"/>
    <w:rsid w:val="00DB19FE"/>
    <w:rsid w:val="00DB3CE1"/>
    <w:rsid w:val="00DB5FF2"/>
    <w:rsid w:val="00DB7B5E"/>
    <w:rsid w:val="00DC241D"/>
    <w:rsid w:val="00DC2910"/>
    <w:rsid w:val="00DC5406"/>
    <w:rsid w:val="00DD2C49"/>
    <w:rsid w:val="00DD3BE5"/>
    <w:rsid w:val="00DD5F69"/>
    <w:rsid w:val="00DD6274"/>
    <w:rsid w:val="00DE1917"/>
    <w:rsid w:val="00DE53D6"/>
    <w:rsid w:val="00DE63E6"/>
    <w:rsid w:val="00DE6A8C"/>
    <w:rsid w:val="00DF0AD2"/>
    <w:rsid w:val="00DF1619"/>
    <w:rsid w:val="00DF1C0F"/>
    <w:rsid w:val="00DF387D"/>
    <w:rsid w:val="00E05063"/>
    <w:rsid w:val="00E10141"/>
    <w:rsid w:val="00E173A8"/>
    <w:rsid w:val="00E17FBC"/>
    <w:rsid w:val="00E22ADA"/>
    <w:rsid w:val="00E252EC"/>
    <w:rsid w:val="00E363F4"/>
    <w:rsid w:val="00E37DC4"/>
    <w:rsid w:val="00E45388"/>
    <w:rsid w:val="00E51133"/>
    <w:rsid w:val="00E62A2F"/>
    <w:rsid w:val="00E62E25"/>
    <w:rsid w:val="00E640F7"/>
    <w:rsid w:val="00E65B79"/>
    <w:rsid w:val="00E67D95"/>
    <w:rsid w:val="00E728C9"/>
    <w:rsid w:val="00E73755"/>
    <w:rsid w:val="00E74790"/>
    <w:rsid w:val="00E835B4"/>
    <w:rsid w:val="00E8746A"/>
    <w:rsid w:val="00E915A6"/>
    <w:rsid w:val="00E9579A"/>
    <w:rsid w:val="00EA4246"/>
    <w:rsid w:val="00EB39FE"/>
    <w:rsid w:val="00EB5169"/>
    <w:rsid w:val="00EC4031"/>
    <w:rsid w:val="00EC60C9"/>
    <w:rsid w:val="00EC6289"/>
    <w:rsid w:val="00ED78E8"/>
    <w:rsid w:val="00EE0A7B"/>
    <w:rsid w:val="00EE1FFD"/>
    <w:rsid w:val="00EE5A6A"/>
    <w:rsid w:val="00EE7BDB"/>
    <w:rsid w:val="00EF099F"/>
    <w:rsid w:val="00EF24C5"/>
    <w:rsid w:val="00EF3C13"/>
    <w:rsid w:val="00EF4508"/>
    <w:rsid w:val="00EF573B"/>
    <w:rsid w:val="00EF6AFC"/>
    <w:rsid w:val="00F00095"/>
    <w:rsid w:val="00F00595"/>
    <w:rsid w:val="00F007C9"/>
    <w:rsid w:val="00F06166"/>
    <w:rsid w:val="00F1036E"/>
    <w:rsid w:val="00F15495"/>
    <w:rsid w:val="00F30340"/>
    <w:rsid w:val="00F31D87"/>
    <w:rsid w:val="00F323E4"/>
    <w:rsid w:val="00F345D5"/>
    <w:rsid w:val="00F47B13"/>
    <w:rsid w:val="00F5251A"/>
    <w:rsid w:val="00F70AA4"/>
    <w:rsid w:val="00F734F8"/>
    <w:rsid w:val="00F75405"/>
    <w:rsid w:val="00F77600"/>
    <w:rsid w:val="00F80AED"/>
    <w:rsid w:val="00F8728F"/>
    <w:rsid w:val="00FB5630"/>
    <w:rsid w:val="00FC54B0"/>
    <w:rsid w:val="00FC6D5A"/>
    <w:rsid w:val="00FD2428"/>
    <w:rsid w:val="00FD39BB"/>
    <w:rsid w:val="00FD42D9"/>
    <w:rsid w:val="00FD5020"/>
    <w:rsid w:val="00FD608A"/>
    <w:rsid w:val="00FE1CF4"/>
    <w:rsid w:val="00FE37C3"/>
    <w:rsid w:val="00FF57D1"/>
    <w:rsid w:val="00FF7E34"/>
    <w:rsid w:val="095E07AB"/>
    <w:rsid w:val="0F175266"/>
    <w:rsid w:val="114066D3"/>
    <w:rsid w:val="17824C23"/>
    <w:rsid w:val="2EE61F7B"/>
    <w:rsid w:val="35292F17"/>
    <w:rsid w:val="433B3763"/>
    <w:rsid w:val="44C01469"/>
    <w:rsid w:val="49615843"/>
    <w:rsid w:val="570359A1"/>
    <w:rsid w:val="58B149A5"/>
    <w:rsid w:val="73A00E74"/>
    <w:rsid w:val="76791B5E"/>
    <w:rsid w:val="79DD33F9"/>
    <w:rsid w:val="7FFE5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600" w:lineRule="exact"/>
      <w:ind w:firstLine="200" w:firstLineChars="200"/>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44"/>
    <w:qFormat/>
    <w:uiPriority w:val="9"/>
    <w:pPr>
      <w:ind w:firstLine="0" w:firstLineChars="0"/>
      <w:jc w:val="center"/>
      <w:outlineLvl w:val="0"/>
    </w:pPr>
    <w:rPr>
      <w:rFonts w:eastAsia="黑体"/>
      <w:bCs/>
      <w:kern w:val="44"/>
      <w:szCs w:val="44"/>
    </w:rPr>
  </w:style>
  <w:style w:type="paragraph" w:styleId="3">
    <w:name w:val="heading 2"/>
    <w:basedOn w:val="1"/>
    <w:next w:val="1"/>
    <w:link w:val="45"/>
    <w:unhideWhenUsed/>
    <w:qFormat/>
    <w:uiPriority w:val="9"/>
    <w:pPr>
      <w:ind w:firstLine="0" w:firstLineChars="0"/>
      <w:outlineLvl w:val="1"/>
    </w:pPr>
    <w:rPr>
      <w:rFonts w:eastAsia="黑体" w:cstheme="majorBidi"/>
      <w:bCs/>
      <w:szCs w:val="32"/>
    </w:rPr>
  </w:style>
  <w:style w:type="paragraph" w:styleId="4">
    <w:name w:val="heading 3"/>
    <w:basedOn w:val="1"/>
    <w:next w:val="1"/>
    <w:link w:val="46"/>
    <w:unhideWhenUsed/>
    <w:qFormat/>
    <w:uiPriority w:val="9"/>
    <w:pPr>
      <w:ind w:firstLine="0" w:firstLineChars="0"/>
      <w:outlineLvl w:val="2"/>
    </w:pPr>
    <w:rPr>
      <w:b/>
      <w:bCs/>
      <w:szCs w:val="32"/>
    </w:rPr>
  </w:style>
  <w:style w:type="paragraph" w:styleId="5">
    <w:name w:val="heading 4"/>
    <w:basedOn w:val="1"/>
    <w:next w:val="1"/>
    <w:link w:val="47"/>
    <w:unhideWhenUsed/>
    <w:qFormat/>
    <w:uiPriority w:val="9"/>
    <w:pPr>
      <w:keepNext/>
      <w:keepLines/>
      <w:spacing w:before="100" w:beforeAutospacing="1" w:after="100" w:afterAutospacing="1" w:line="240" w:lineRule="auto"/>
      <w:outlineLvl w:val="3"/>
    </w:pPr>
    <w:rPr>
      <w:rFonts w:eastAsia="楷体" w:cstheme="majorBidi"/>
      <w:b/>
      <w:bCs/>
      <w:szCs w:val="28"/>
    </w:rPr>
  </w:style>
  <w:style w:type="paragraph" w:styleId="6">
    <w:name w:val="heading 5"/>
    <w:basedOn w:val="1"/>
    <w:next w:val="1"/>
    <w:link w:val="48"/>
    <w:unhideWhenUsed/>
    <w:qFormat/>
    <w:uiPriority w:val="9"/>
    <w:pPr>
      <w:keepNext/>
      <w:keepLines/>
      <w:spacing w:before="280" w:after="290" w:line="376" w:lineRule="auto"/>
      <w:ind w:firstLine="0" w:firstLineChars="0"/>
      <w:outlineLvl w:val="4"/>
    </w:pPr>
    <w:rPr>
      <w:rFonts w:ascii="Calibri" w:hAnsi="Calibri" w:eastAsia="宋体"/>
      <w:b/>
      <w:bCs/>
      <w:sz w:val="28"/>
      <w:szCs w:val="28"/>
    </w:rPr>
  </w:style>
  <w:style w:type="paragraph" w:styleId="7">
    <w:name w:val="heading 6"/>
    <w:basedOn w:val="1"/>
    <w:next w:val="1"/>
    <w:link w:val="49"/>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autoRedefine/>
    <w:unhideWhenUsed/>
    <w:qFormat/>
    <w:uiPriority w:val="39"/>
    <w:pPr>
      <w:adjustRightInd/>
      <w:snapToGrid/>
      <w:spacing w:line="240" w:lineRule="auto"/>
      <w:ind w:left="2520" w:leftChars="1200" w:firstLine="0" w:firstLineChars="0"/>
    </w:pPr>
    <w:rPr>
      <w:rFonts w:asciiTheme="minorHAnsi" w:hAnsiTheme="minorHAnsi" w:eastAsiaTheme="minorEastAsia" w:cstheme="minorBidi"/>
      <w:sz w:val="21"/>
      <w:szCs w:val="22"/>
    </w:rPr>
  </w:style>
  <w:style w:type="paragraph" w:styleId="9">
    <w:name w:val="Normal Indent"/>
    <w:basedOn w:val="1"/>
    <w:link w:val="50"/>
    <w:qFormat/>
    <w:uiPriority w:val="0"/>
    <w:pPr>
      <w:ind w:firstLine="420"/>
    </w:pPr>
    <w:rPr>
      <w:rFonts w:eastAsia="宋体" w:asciiTheme="minorHAnsi" w:hAnsiTheme="minorHAnsi" w:cstheme="minorBidi"/>
      <w:sz w:val="21"/>
      <w:szCs w:val="24"/>
    </w:rPr>
  </w:style>
  <w:style w:type="paragraph" w:styleId="10">
    <w:name w:val="List Bullet"/>
    <w:basedOn w:val="1"/>
    <w:unhideWhenUsed/>
    <w:qFormat/>
    <w:uiPriority w:val="99"/>
    <w:pPr>
      <w:numPr>
        <w:ilvl w:val="0"/>
        <w:numId w:val="1"/>
      </w:numPr>
      <w:contextualSpacing/>
    </w:pPr>
  </w:style>
  <w:style w:type="paragraph" w:styleId="11">
    <w:name w:val="annotation text"/>
    <w:basedOn w:val="1"/>
    <w:link w:val="51"/>
    <w:unhideWhenUsed/>
    <w:qFormat/>
    <w:uiPriority w:val="99"/>
    <w:pPr>
      <w:jc w:val="left"/>
    </w:pPr>
  </w:style>
  <w:style w:type="paragraph" w:styleId="12">
    <w:name w:val="Body Text"/>
    <w:basedOn w:val="1"/>
    <w:link w:val="52"/>
    <w:unhideWhenUsed/>
    <w:qFormat/>
    <w:uiPriority w:val="99"/>
    <w:pPr>
      <w:spacing w:after="120" w:line="240" w:lineRule="auto"/>
    </w:pPr>
    <w:rPr>
      <w:rFonts w:asciiTheme="minorHAnsi" w:hAnsiTheme="minorHAnsi" w:cstheme="minorBidi"/>
      <w:sz w:val="30"/>
      <w:szCs w:val="21"/>
    </w:rPr>
  </w:style>
  <w:style w:type="paragraph" w:styleId="13">
    <w:name w:val="Body Text Indent"/>
    <w:basedOn w:val="1"/>
    <w:link w:val="53"/>
    <w:unhideWhenUsed/>
    <w:qFormat/>
    <w:uiPriority w:val="99"/>
    <w:pPr>
      <w:spacing w:after="120" w:line="240" w:lineRule="auto"/>
      <w:ind w:left="420" w:leftChars="200"/>
    </w:pPr>
    <w:rPr>
      <w:rFonts w:eastAsia="宋体"/>
      <w:sz w:val="28"/>
      <w:szCs w:val="22"/>
    </w:rPr>
  </w:style>
  <w:style w:type="paragraph" w:styleId="14">
    <w:name w:val="toc 5"/>
    <w:basedOn w:val="1"/>
    <w:next w:val="1"/>
    <w:autoRedefine/>
    <w:unhideWhenUsed/>
    <w:qFormat/>
    <w:uiPriority w:val="39"/>
    <w:pPr>
      <w:adjustRightInd/>
      <w:snapToGrid/>
      <w:spacing w:line="240" w:lineRule="auto"/>
      <w:ind w:left="1680" w:leftChars="800" w:firstLine="0" w:firstLineChars="0"/>
    </w:pPr>
    <w:rPr>
      <w:rFonts w:asciiTheme="minorHAnsi" w:hAnsiTheme="minorHAnsi" w:eastAsiaTheme="minorEastAsia" w:cstheme="minorBidi"/>
      <w:sz w:val="21"/>
      <w:szCs w:val="22"/>
    </w:rPr>
  </w:style>
  <w:style w:type="paragraph" w:styleId="15">
    <w:name w:val="toc 3"/>
    <w:basedOn w:val="1"/>
    <w:next w:val="1"/>
    <w:unhideWhenUsed/>
    <w:qFormat/>
    <w:uiPriority w:val="39"/>
    <w:pPr>
      <w:tabs>
        <w:tab w:val="right" w:leader="dot" w:pos="8302"/>
      </w:tabs>
      <w:spacing w:line="240" w:lineRule="auto"/>
      <w:ind w:left="567" w:firstLine="0" w:firstLineChars="0"/>
      <w:jc w:val="left"/>
    </w:pPr>
    <w:rPr>
      <w:rFonts w:asciiTheme="minorHAnsi" w:hAnsiTheme="minorHAnsi"/>
      <w:iCs/>
      <w:sz w:val="24"/>
    </w:rPr>
  </w:style>
  <w:style w:type="paragraph" w:styleId="16">
    <w:name w:val="Plain Text"/>
    <w:basedOn w:val="1"/>
    <w:link w:val="54"/>
    <w:qFormat/>
    <w:uiPriority w:val="0"/>
    <w:pPr>
      <w:spacing w:line="240" w:lineRule="auto"/>
      <w:ind w:firstLine="0" w:firstLineChars="0"/>
    </w:pPr>
    <w:rPr>
      <w:rFonts w:ascii="宋体" w:hAnsi="Courier New" w:eastAsia="宋体" w:cs="Courier New"/>
      <w:sz w:val="21"/>
      <w:szCs w:val="21"/>
    </w:rPr>
  </w:style>
  <w:style w:type="paragraph" w:styleId="17">
    <w:name w:val="toc 8"/>
    <w:basedOn w:val="1"/>
    <w:next w:val="1"/>
    <w:autoRedefine/>
    <w:unhideWhenUsed/>
    <w:qFormat/>
    <w:uiPriority w:val="39"/>
    <w:pPr>
      <w:adjustRightInd/>
      <w:snapToGrid/>
      <w:spacing w:line="240" w:lineRule="auto"/>
      <w:ind w:left="2940" w:leftChars="1400" w:firstLine="0" w:firstLineChars="0"/>
    </w:pPr>
    <w:rPr>
      <w:rFonts w:asciiTheme="minorHAnsi" w:hAnsiTheme="minorHAnsi" w:eastAsiaTheme="minorEastAsia" w:cstheme="minorBidi"/>
      <w:sz w:val="21"/>
      <w:szCs w:val="22"/>
    </w:rPr>
  </w:style>
  <w:style w:type="paragraph" w:styleId="18">
    <w:name w:val="Body Text Indent 2"/>
    <w:basedOn w:val="1"/>
    <w:link w:val="55"/>
    <w:qFormat/>
    <w:uiPriority w:val="0"/>
    <w:pPr>
      <w:spacing w:after="120" w:line="480" w:lineRule="auto"/>
      <w:ind w:left="420" w:leftChars="200"/>
    </w:pPr>
  </w:style>
  <w:style w:type="paragraph" w:styleId="19">
    <w:name w:val="Balloon Text"/>
    <w:basedOn w:val="1"/>
    <w:link w:val="56"/>
    <w:unhideWhenUsed/>
    <w:qFormat/>
    <w:uiPriority w:val="99"/>
    <w:rPr>
      <w:sz w:val="18"/>
      <w:szCs w:val="18"/>
    </w:rPr>
  </w:style>
  <w:style w:type="paragraph" w:styleId="20">
    <w:name w:val="footer"/>
    <w:basedOn w:val="1"/>
    <w:link w:val="57"/>
    <w:unhideWhenUsed/>
    <w:qFormat/>
    <w:uiPriority w:val="99"/>
    <w:pPr>
      <w:tabs>
        <w:tab w:val="center" w:pos="4153"/>
        <w:tab w:val="right" w:pos="8306"/>
      </w:tabs>
      <w:jc w:val="left"/>
    </w:pPr>
    <w:rPr>
      <w:sz w:val="18"/>
      <w:szCs w:val="18"/>
    </w:rPr>
  </w:style>
  <w:style w:type="paragraph" w:styleId="21">
    <w:name w:val="header"/>
    <w:basedOn w:val="1"/>
    <w:link w:val="58"/>
    <w:unhideWhenUsed/>
    <w:qFormat/>
    <w:uiPriority w:val="99"/>
    <w:pPr>
      <w:pBdr>
        <w:bottom w:val="single" w:color="auto" w:sz="6" w:space="1"/>
      </w:pBdr>
      <w:tabs>
        <w:tab w:val="center" w:pos="4153"/>
        <w:tab w:val="right" w:pos="8306"/>
      </w:tabs>
      <w:jc w:val="center"/>
    </w:pPr>
    <w:rPr>
      <w:sz w:val="18"/>
      <w:szCs w:val="18"/>
    </w:rPr>
  </w:style>
  <w:style w:type="paragraph" w:styleId="22">
    <w:name w:val="toc 1"/>
    <w:basedOn w:val="1"/>
    <w:next w:val="1"/>
    <w:unhideWhenUsed/>
    <w:qFormat/>
    <w:uiPriority w:val="39"/>
    <w:pPr>
      <w:spacing w:line="240" w:lineRule="auto"/>
      <w:ind w:firstLine="0" w:firstLineChars="0"/>
      <w:jc w:val="left"/>
    </w:pPr>
    <w:rPr>
      <w:rFonts w:asciiTheme="minorHAnsi" w:hAnsiTheme="minorHAnsi"/>
      <w:b/>
      <w:bCs/>
      <w:caps/>
      <w:sz w:val="24"/>
    </w:rPr>
  </w:style>
  <w:style w:type="paragraph" w:styleId="23">
    <w:name w:val="toc 4"/>
    <w:basedOn w:val="1"/>
    <w:next w:val="1"/>
    <w:unhideWhenUsed/>
    <w:qFormat/>
    <w:uiPriority w:val="39"/>
    <w:pPr>
      <w:ind w:left="960"/>
      <w:jc w:val="left"/>
    </w:pPr>
    <w:rPr>
      <w:rFonts w:asciiTheme="minorHAnsi" w:hAnsiTheme="minorHAnsi"/>
      <w:sz w:val="18"/>
      <w:szCs w:val="18"/>
    </w:rPr>
  </w:style>
  <w:style w:type="paragraph" w:styleId="24">
    <w:name w:val="Subtitle"/>
    <w:basedOn w:val="1"/>
    <w:next w:val="1"/>
    <w:link w:val="59"/>
    <w:qFormat/>
    <w:uiPriority w:val="0"/>
    <w:pPr>
      <w:outlineLvl w:val="1"/>
    </w:pPr>
    <w:rPr>
      <w:rFonts w:ascii="Cambria" w:hAnsi="Cambria" w:eastAsia="黑体"/>
      <w:bCs/>
      <w:kern w:val="28"/>
      <w:szCs w:val="32"/>
    </w:rPr>
  </w:style>
  <w:style w:type="paragraph" w:styleId="25">
    <w:name w:val="footnote text"/>
    <w:basedOn w:val="1"/>
    <w:link w:val="61"/>
    <w:unhideWhenUsed/>
    <w:qFormat/>
    <w:uiPriority w:val="99"/>
    <w:pPr>
      <w:jc w:val="left"/>
    </w:pPr>
    <w:rPr>
      <w:sz w:val="18"/>
      <w:szCs w:val="18"/>
    </w:rPr>
  </w:style>
  <w:style w:type="paragraph" w:styleId="26">
    <w:name w:val="toc 6"/>
    <w:basedOn w:val="1"/>
    <w:next w:val="1"/>
    <w:autoRedefine/>
    <w:unhideWhenUsed/>
    <w:qFormat/>
    <w:uiPriority w:val="39"/>
    <w:pPr>
      <w:adjustRightInd/>
      <w:snapToGrid/>
      <w:spacing w:line="240" w:lineRule="auto"/>
      <w:ind w:left="2100" w:leftChars="1000" w:firstLine="0" w:firstLineChars="0"/>
    </w:pPr>
    <w:rPr>
      <w:rFonts w:asciiTheme="minorHAnsi" w:hAnsiTheme="minorHAnsi" w:eastAsiaTheme="minorEastAsia" w:cstheme="minorBidi"/>
      <w:sz w:val="21"/>
      <w:szCs w:val="22"/>
    </w:rPr>
  </w:style>
  <w:style w:type="paragraph" w:styleId="27">
    <w:name w:val="table of figures"/>
    <w:basedOn w:val="1"/>
    <w:next w:val="1"/>
    <w:link w:val="62"/>
    <w:unhideWhenUsed/>
    <w:qFormat/>
    <w:uiPriority w:val="0"/>
    <w:pPr>
      <w:spacing w:line="240" w:lineRule="auto"/>
      <w:ind w:firstLine="0" w:firstLineChars="0"/>
      <w:jc w:val="center"/>
    </w:pPr>
    <w:rPr>
      <w:rFonts w:eastAsia="黑体"/>
      <w:sz w:val="24"/>
      <w:szCs w:val="22"/>
    </w:rPr>
  </w:style>
  <w:style w:type="paragraph" w:styleId="28">
    <w:name w:val="toc 2"/>
    <w:basedOn w:val="1"/>
    <w:next w:val="1"/>
    <w:unhideWhenUsed/>
    <w:qFormat/>
    <w:uiPriority w:val="39"/>
    <w:pPr>
      <w:spacing w:line="240" w:lineRule="auto"/>
      <w:ind w:left="284" w:firstLine="0" w:firstLineChars="0"/>
      <w:jc w:val="left"/>
    </w:pPr>
    <w:rPr>
      <w:rFonts w:asciiTheme="minorHAnsi" w:hAnsiTheme="minorHAnsi"/>
      <w:smallCaps/>
      <w:sz w:val="24"/>
    </w:rPr>
  </w:style>
  <w:style w:type="paragraph" w:styleId="29">
    <w:name w:val="toc 9"/>
    <w:basedOn w:val="1"/>
    <w:next w:val="1"/>
    <w:autoRedefine/>
    <w:unhideWhenUsed/>
    <w:qFormat/>
    <w:uiPriority w:val="39"/>
    <w:pPr>
      <w:adjustRightInd/>
      <w:snapToGrid/>
      <w:spacing w:line="240" w:lineRule="auto"/>
      <w:ind w:left="3360" w:leftChars="1600" w:firstLine="0" w:firstLineChars="0"/>
    </w:pPr>
    <w:rPr>
      <w:rFonts w:asciiTheme="minorHAnsi" w:hAnsiTheme="minorHAnsi" w:eastAsiaTheme="minorEastAsia" w:cstheme="minorBidi"/>
      <w:sz w:val="21"/>
      <w:szCs w:val="22"/>
    </w:rPr>
  </w:style>
  <w:style w:type="paragraph" w:styleId="30">
    <w:name w:val="Normal (Web)"/>
    <w:basedOn w:val="1"/>
    <w:unhideWhenUsed/>
    <w:qFormat/>
    <w:uiPriority w:val="99"/>
    <w:pPr>
      <w:widowControl/>
      <w:adjustRightInd/>
      <w:snapToGrid/>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31">
    <w:name w:val="Title"/>
    <w:basedOn w:val="1"/>
    <w:next w:val="1"/>
    <w:link w:val="63"/>
    <w:qFormat/>
    <w:uiPriority w:val="10"/>
    <w:pPr>
      <w:spacing w:before="240" w:after="60" w:line="240" w:lineRule="auto"/>
      <w:ind w:firstLine="0" w:firstLineChars="0"/>
      <w:jc w:val="center"/>
      <w:outlineLvl w:val="0"/>
    </w:pPr>
    <w:rPr>
      <w:rFonts w:ascii="Calibri Light" w:hAnsi="Calibri Light" w:eastAsia="宋体"/>
      <w:b/>
      <w:bCs/>
      <w:szCs w:val="32"/>
    </w:rPr>
  </w:style>
  <w:style w:type="paragraph" w:styleId="32">
    <w:name w:val="annotation subject"/>
    <w:basedOn w:val="11"/>
    <w:next w:val="11"/>
    <w:link w:val="65"/>
    <w:semiHidden/>
    <w:unhideWhenUsed/>
    <w:qFormat/>
    <w:uiPriority w:val="99"/>
    <w:rPr>
      <w:b/>
      <w:bCs/>
    </w:rPr>
  </w:style>
  <w:style w:type="paragraph" w:styleId="33">
    <w:name w:val="Body Text First Indent"/>
    <w:basedOn w:val="12"/>
    <w:link w:val="66"/>
    <w:qFormat/>
    <w:uiPriority w:val="0"/>
    <w:pPr>
      <w:ind w:firstLine="420" w:firstLineChars="100"/>
    </w:pPr>
    <w:rPr>
      <w:rFonts w:ascii="Calibri" w:hAnsi="Calibri" w:eastAsia="宋体" w:cs="宋体"/>
      <w:sz w:val="21"/>
      <w:szCs w:val="24"/>
    </w:rPr>
  </w:style>
  <w:style w:type="paragraph" w:styleId="34">
    <w:name w:val="Body Text First Indent 2"/>
    <w:basedOn w:val="13"/>
    <w:next w:val="1"/>
    <w:link w:val="67"/>
    <w:qFormat/>
    <w:uiPriority w:val="99"/>
    <w:pPr>
      <w:adjustRightInd/>
      <w:snapToGrid/>
      <w:spacing w:after="0"/>
      <w:ind w:left="0" w:leftChars="0" w:firstLine="420"/>
    </w:pPr>
    <w:rPr>
      <w:rFonts w:eastAsia="仿宋_GB2312"/>
      <w:sz w:val="32"/>
      <w:szCs w:val="20"/>
    </w:r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basedOn w:val="37"/>
    <w:qFormat/>
    <w:uiPriority w:val="22"/>
    <w:rPr>
      <w:b/>
      <w:bCs/>
    </w:rPr>
  </w:style>
  <w:style w:type="character" w:styleId="39">
    <w:name w:val="page number"/>
    <w:qFormat/>
    <w:uiPriority w:val="0"/>
  </w:style>
  <w:style w:type="character" w:styleId="40">
    <w:name w:val="FollowedHyperlink"/>
    <w:basedOn w:val="37"/>
    <w:unhideWhenUsed/>
    <w:qFormat/>
    <w:uiPriority w:val="99"/>
    <w:rPr>
      <w:color w:val="954F72" w:themeColor="followedHyperlink"/>
      <w:u w:val="single"/>
      <w14:textFill>
        <w14:solidFill>
          <w14:schemeClr w14:val="folHlink"/>
        </w14:solidFill>
      </w14:textFill>
    </w:rPr>
  </w:style>
  <w:style w:type="character" w:styleId="41">
    <w:name w:val="Hyperlink"/>
    <w:basedOn w:val="37"/>
    <w:unhideWhenUsed/>
    <w:qFormat/>
    <w:uiPriority w:val="99"/>
    <w:rPr>
      <w:color w:val="0563C1" w:themeColor="hyperlink"/>
      <w:u w:val="single"/>
      <w14:textFill>
        <w14:solidFill>
          <w14:schemeClr w14:val="hlink"/>
        </w14:solidFill>
      </w14:textFill>
    </w:rPr>
  </w:style>
  <w:style w:type="character" w:styleId="42">
    <w:name w:val="annotation reference"/>
    <w:basedOn w:val="37"/>
    <w:unhideWhenUsed/>
    <w:qFormat/>
    <w:uiPriority w:val="99"/>
    <w:rPr>
      <w:sz w:val="21"/>
      <w:szCs w:val="21"/>
    </w:rPr>
  </w:style>
  <w:style w:type="character" w:styleId="43">
    <w:name w:val="footnote reference"/>
    <w:unhideWhenUsed/>
    <w:qFormat/>
    <w:uiPriority w:val="99"/>
    <w:rPr>
      <w:vertAlign w:val="superscript"/>
    </w:rPr>
  </w:style>
  <w:style w:type="character" w:customStyle="1" w:styleId="44">
    <w:name w:val="标题 1 Char1"/>
    <w:basedOn w:val="37"/>
    <w:link w:val="2"/>
    <w:qFormat/>
    <w:uiPriority w:val="9"/>
    <w:rPr>
      <w:rFonts w:ascii="Times New Roman" w:hAnsi="Times New Roman" w:eastAsia="黑体" w:cs="Times New Roman"/>
      <w:bCs/>
      <w:kern w:val="44"/>
      <w:sz w:val="32"/>
      <w:szCs w:val="44"/>
    </w:rPr>
  </w:style>
  <w:style w:type="character" w:customStyle="1" w:styleId="45">
    <w:name w:val="标题 2 Char"/>
    <w:basedOn w:val="37"/>
    <w:link w:val="3"/>
    <w:qFormat/>
    <w:uiPriority w:val="9"/>
    <w:rPr>
      <w:rFonts w:ascii="Times New Roman" w:hAnsi="Times New Roman" w:eastAsia="黑体" w:cstheme="majorBidi"/>
      <w:bCs/>
      <w:sz w:val="32"/>
      <w:szCs w:val="32"/>
    </w:rPr>
  </w:style>
  <w:style w:type="character" w:customStyle="1" w:styleId="46">
    <w:name w:val="标题 3 Char"/>
    <w:basedOn w:val="37"/>
    <w:link w:val="4"/>
    <w:qFormat/>
    <w:uiPriority w:val="9"/>
    <w:rPr>
      <w:rFonts w:ascii="Times New Roman" w:hAnsi="Times New Roman" w:eastAsia="仿宋_GB2312" w:cs="Times New Roman"/>
      <w:b/>
      <w:bCs/>
      <w:sz w:val="32"/>
      <w:szCs w:val="32"/>
    </w:rPr>
  </w:style>
  <w:style w:type="character" w:customStyle="1" w:styleId="47">
    <w:name w:val="标题 4 Char"/>
    <w:basedOn w:val="37"/>
    <w:link w:val="5"/>
    <w:qFormat/>
    <w:uiPriority w:val="9"/>
    <w:rPr>
      <w:rFonts w:ascii="Times New Roman" w:hAnsi="Times New Roman" w:eastAsia="楷体" w:cstheme="majorBidi"/>
      <w:b/>
      <w:bCs/>
      <w:sz w:val="32"/>
      <w:szCs w:val="28"/>
    </w:rPr>
  </w:style>
  <w:style w:type="character" w:customStyle="1" w:styleId="48">
    <w:name w:val="标题 5 Char1"/>
    <w:basedOn w:val="37"/>
    <w:link w:val="6"/>
    <w:qFormat/>
    <w:uiPriority w:val="9"/>
    <w:rPr>
      <w:rFonts w:ascii="Calibri" w:hAnsi="Calibri" w:eastAsia="宋体" w:cs="Times New Roman"/>
      <w:b/>
      <w:bCs/>
      <w:sz w:val="28"/>
      <w:szCs w:val="28"/>
    </w:rPr>
  </w:style>
  <w:style w:type="character" w:customStyle="1" w:styleId="49">
    <w:name w:val="标题 6 Char"/>
    <w:basedOn w:val="37"/>
    <w:link w:val="7"/>
    <w:qFormat/>
    <w:uiPriority w:val="9"/>
    <w:rPr>
      <w:rFonts w:asciiTheme="majorHAnsi" w:hAnsiTheme="majorHAnsi" w:eastAsiaTheme="majorEastAsia" w:cstheme="majorBidi"/>
      <w:b/>
      <w:bCs/>
      <w:sz w:val="24"/>
      <w:szCs w:val="24"/>
    </w:rPr>
  </w:style>
  <w:style w:type="character" w:customStyle="1" w:styleId="50">
    <w:name w:val="正文缩进 Char"/>
    <w:link w:val="9"/>
    <w:qFormat/>
    <w:uiPriority w:val="0"/>
    <w:rPr>
      <w:rFonts w:eastAsia="宋体"/>
      <w:szCs w:val="24"/>
    </w:rPr>
  </w:style>
  <w:style w:type="character" w:customStyle="1" w:styleId="51">
    <w:name w:val="批注文字 Char"/>
    <w:basedOn w:val="37"/>
    <w:link w:val="11"/>
    <w:qFormat/>
    <w:uiPriority w:val="99"/>
    <w:rPr>
      <w:rFonts w:ascii="Times New Roman" w:hAnsi="Times New Roman" w:eastAsia="仿宋_GB2312" w:cs="Times New Roman"/>
      <w:sz w:val="32"/>
      <w:szCs w:val="20"/>
    </w:rPr>
  </w:style>
  <w:style w:type="character" w:customStyle="1" w:styleId="52">
    <w:name w:val="正文文本 Char"/>
    <w:basedOn w:val="37"/>
    <w:link w:val="12"/>
    <w:qFormat/>
    <w:uiPriority w:val="99"/>
    <w:rPr>
      <w:rFonts w:eastAsia="仿宋_GB2312"/>
      <w:sz w:val="30"/>
      <w:szCs w:val="21"/>
    </w:rPr>
  </w:style>
  <w:style w:type="character" w:customStyle="1" w:styleId="53">
    <w:name w:val="正文文本缩进 Char"/>
    <w:basedOn w:val="37"/>
    <w:link w:val="13"/>
    <w:qFormat/>
    <w:uiPriority w:val="99"/>
    <w:rPr>
      <w:rFonts w:ascii="Times New Roman" w:hAnsi="Times New Roman" w:eastAsia="宋体" w:cs="Times New Roman"/>
      <w:sz w:val="28"/>
    </w:rPr>
  </w:style>
  <w:style w:type="character" w:customStyle="1" w:styleId="54">
    <w:name w:val="纯文本 Char"/>
    <w:basedOn w:val="37"/>
    <w:link w:val="16"/>
    <w:qFormat/>
    <w:uiPriority w:val="0"/>
    <w:rPr>
      <w:rFonts w:ascii="宋体" w:hAnsi="Courier New" w:eastAsia="宋体" w:cs="Courier New"/>
      <w:szCs w:val="21"/>
    </w:rPr>
  </w:style>
  <w:style w:type="character" w:customStyle="1" w:styleId="55">
    <w:name w:val="正文文本缩进 2 Char"/>
    <w:basedOn w:val="37"/>
    <w:link w:val="18"/>
    <w:qFormat/>
    <w:uiPriority w:val="0"/>
    <w:rPr>
      <w:rFonts w:ascii="Times New Roman" w:hAnsi="Times New Roman" w:eastAsia="仿宋_GB2312" w:cs="Times New Roman"/>
      <w:sz w:val="32"/>
      <w:szCs w:val="20"/>
    </w:rPr>
  </w:style>
  <w:style w:type="character" w:customStyle="1" w:styleId="56">
    <w:name w:val="批注框文本 Char"/>
    <w:basedOn w:val="37"/>
    <w:link w:val="19"/>
    <w:qFormat/>
    <w:uiPriority w:val="99"/>
    <w:rPr>
      <w:rFonts w:ascii="Times New Roman" w:hAnsi="Times New Roman" w:eastAsia="仿宋_GB2312" w:cs="Times New Roman"/>
      <w:sz w:val="18"/>
      <w:szCs w:val="18"/>
    </w:rPr>
  </w:style>
  <w:style w:type="character" w:customStyle="1" w:styleId="57">
    <w:name w:val="页脚 Char"/>
    <w:basedOn w:val="37"/>
    <w:link w:val="20"/>
    <w:qFormat/>
    <w:uiPriority w:val="99"/>
    <w:rPr>
      <w:rFonts w:ascii="Times New Roman" w:hAnsi="Times New Roman" w:eastAsia="仿宋_GB2312" w:cs="Times New Roman"/>
      <w:sz w:val="18"/>
      <w:szCs w:val="18"/>
    </w:rPr>
  </w:style>
  <w:style w:type="character" w:customStyle="1" w:styleId="58">
    <w:name w:val="页眉 Char"/>
    <w:basedOn w:val="37"/>
    <w:link w:val="21"/>
    <w:qFormat/>
    <w:uiPriority w:val="99"/>
    <w:rPr>
      <w:rFonts w:ascii="Times New Roman" w:hAnsi="Times New Roman" w:eastAsia="仿宋_GB2312" w:cs="Times New Roman"/>
      <w:sz w:val="18"/>
      <w:szCs w:val="18"/>
    </w:rPr>
  </w:style>
  <w:style w:type="character" w:customStyle="1" w:styleId="59">
    <w:name w:val="副标题 Char"/>
    <w:link w:val="24"/>
    <w:qFormat/>
    <w:uiPriority w:val="0"/>
    <w:rPr>
      <w:rFonts w:ascii="Cambria" w:hAnsi="Cambria" w:eastAsia="黑体" w:cs="Times New Roman"/>
      <w:bCs/>
      <w:kern w:val="28"/>
      <w:sz w:val="32"/>
      <w:szCs w:val="32"/>
    </w:rPr>
  </w:style>
  <w:style w:type="character" w:customStyle="1" w:styleId="60">
    <w:name w:val="副标题 字符"/>
    <w:basedOn w:val="37"/>
    <w:qFormat/>
    <w:uiPriority w:val="0"/>
    <w:rPr>
      <w:b/>
      <w:bCs/>
      <w:kern w:val="28"/>
      <w:sz w:val="32"/>
      <w:szCs w:val="32"/>
    </w:rPr>
  </w:style>
  <w:style w:type="character" w:customStyle="1" w:styleId="61">
    <w:name w:val="脚注文本 Char"/>
    <w:basedOn w:val="37"/>
    <w:link w:val="25"/>
    <w:qFormat/>
    <w:uiPriority w:val="99"/>
    <w:rPr>
      <w:rFonts w:ascii="Times New Roman" w:hAnsi="Times New Roman" w:eastAsia="仿宋_GB2312" w:cs="Times New Roman"/>
      <w:sz w:val="18"/>
      <w:szCs w:val="18"/>
    </w:rPr>
  </w:style>
  <w:style w:type="character" w:customStyle="1" w:styleId="62">
    <w:name w:val="图表目录 Char"/>
    <w:link w:val="27"/>
    <w:qFormat/>
    <w:uiPriority w:val="0"/>
    <w:rPr>
      <w:rFonts w:ascii="Times New Roman" w:hAnsi="Times New Roman" w:eastAsia="黑体" w:cs="Times New Roman"/>
      <w:sz w:val="24"/>
    </w:rPr>
  </w:style>
  <w:style w:type="character" w:customStyle="1" w:styleId="63">
    <w:name w:val="标题 Char1"/>
    <w:link w:val="31"/>
    <w:qFormat/>
    <w:uiPriority w:val="10"/>
    <w:rPr>
      <w:rFonts w:ascii="Calibri Light" w:hAnsi="Calibri Light" w:eastAsia="宋体" w:cs="Times New Roman"/>
      <w:b/>
      <w:bCs/>
      <w:sz w:val="32"/>
      <w:szCs w:val="32"/>
    </w:rPr>
  </w:style>
  <w:style w:type="character" w:customStyle="1" w:styleId="64">
    <w:name w:val="标题 字符"/>
    <w:basedOn w:val="37"/>
    <w:qFormat/>
    <w:uiPriority w:val="10"/>
    <w:rPr>
      <w:rFonts w:asciiTheme="majorHAnsi" w:hAnsiTheme="majorHAnsi" w:eastAsiaTheme="majorEastAsia" w:cstheme="majorBidi"/>
      <w:b/>
      <w:bCs/>
      <w:sz w:val="32"/>
      <w:szCs w:val="32"/>
    </w:rPr>
  </w:style>
  <w:style w:type="character" w:customStyle="1" w:styleId="65">
    <w:name w:val="批注主题 Char"/>
    <w:basedOn w:val="51"/>
    <w:link w:val="32"/>
    <w:semiHidden/>
    <w:qFormat/>
    <w:uiPriority w:val="99"/>
    <w:rPr>
      <w:rFonts w:ascii="Times New Roman" w:hAnsi="Times New Roman" w:eastAsia="仿宋_GB2312" w:cs="Times New Roman"/>
      <w:b/>
      <w:bCs/>
      <w:sz w:val="32"/>
      <w:szCs w:val="20"/>
    </w:rPr>
  </w:style>
  <w:style w:type="character" w:customStyle="1" w:styleId="66">
    <w:name w:val="正文首行缩进 Char"/>
    <w:basedOn w:val="52"/>
    <w:link w:val="33"/>
    <w:qFormat/>
    <w:uiPriority w:val="0"/>
    <w:rPr>
      <w:rFonts w:ascii="Calibri" w:hAnsi="Calibri" w:eastAsia="宋体" w:cs="宋体"/>
      <w:sz w:val="30"/>
      <w:szCs w:val="24"/>
    </w:rPr>
  </w:style>
  <w:style w:type="character" w:customStyle="1" w:styleId="67">
    <w:name w:val="正文首行缩进 2 Char"/>
    <w:basedOn w:val="53"/>
    <w:link w:val="34"/>
    <w:qFormat/>
    <w:uiPriority w:val="99"/>
    <w:rPr>
      <w:rFonts w:ascii="Times New Roman" w:hAnsi="Times New Roman" w:eastAsia="仿宋_GB2312" w:cs="Times New Roman"/>
      <w:sz w:val="32"/>
      <w:szCs w:val="20"/>
    </w:rPr>
  </w:style>
  <w:style w:type="character" w:customStyle="1" w:styleId="68">
    <w:name w:val="标准正文 Char"/>
    <w:link w:val="69"/>
    <w:qFormat/>
    <w:uiPriority w:val="0"/>
    <w:rPr>
      <w:rFonts w:ascii="Times New Roman" w:hAnsi="Times New Roman" w:eastAsia="仿宋_GB2312"/>
      <w:sz w:val="28"/>
      <w:szCs w:val="24"/>
    </w:rPr>
  </w:style>
  <w:style w:type="paragraph" w:customStyle="1" w:styleId="69">
    <w:name w:val="标准正文"/>
    <w:link w:val="68"/>
    <w:qFormat/>
    <w:uiPriority w:val="0"/>
    <w:pPr>
      <w:snapToGrid w:val="0"/>
      <w:spacing w:afterLines="50" w:line="360" w:lineRule="auto"/>
      <w:ind w:firstLine="200" w:firstLineChars="200"/>
    </w:pPr>
    <w:rPr>
      <w:rFonts w:ascii="Times New Roman" w:hAnsi="Times New Roman" w:eastAsia="仿宋_GB2312" w:cstheme="minorBidi"/>
      <w:kern w:val="2"/>
      <w:sz w:val="28"/>
      <w:szCs w:val="24"/>
      <w:lang w:val="en-US" w:eastAsia="zh-CN" w:bidi="ar-SA"/>
    </w:rPr>
  </w:style>
  <w:style w:type="paragraph" w:styleId="70">
    <w:name w:val="List Paragraph"/>
    <w:basedOn w:val="1"/>
    <w:link w:val="71"/>
    <w:qFormat/>
    <w:uiPriority w:val="99"/>
    <w:pPr>
      <w:ind w:firstLine="420"/>
    </w:pPr>
  </w:style>
  <w:style w:type="character" w:customStyle="1" w:styleId="71">
    <w:name w:val="列出段落 Char1"/>
    <w:basedOn w:val="37"/>
    <w:link w:val="70"/>
    <w:qFormat/>
    <w:locked/>
    <w:uiPriority w:val="99"/>
    <w:rPr>
      <w:rFonts w:ascii="Times New Roman" w:hAnsi="Times New Roman" w:eastAsia="仿宋_GB2312" w:cs="Times New Roman"/>
      <w:sz w:val="32"/>
      <w:szCs w:val="20"/>
    </w:rPr>
  </w:style>
  <w:style w:type="paragraph" w:customStyle="1" w:styleId="72">
    <w:name w:val="4级标题"/>
    <w:basedOn w:val="70"/>
    <w:link w:val="73"/>
    <w:qFormat/>
    <w:uiPriority w:val="0"/>
    <w:pPr>
      <w:ind w:firstLine="0" w:firstLineChars="0"/>
      <w:jc w:val="left"/>
      <w:outlineLvl w:val="3"/>
    </w:pPr>
    <w:rPr>
      <w:color w:val="000000" w:themeColor="text1"/>
      <w:szCs w:val="28"/>
      <w14:textFill>
        <w14:solidFill>
          <w14:schemeClr w14:val="tx1"/>
        </w14:solidFill>
      </w14:textFill>
    </w:rPr>
  </w:style>
  <w:style w:type="character" w:customStyle="1" w:styleId="73">
    <w:name w:val="4级标题 字符"/>
    <w:basedOn w:val="37"/>
    <w:link w:val="72"/>
    <w:qFormat/>
    <w:uiPriority w:val="0"/>
    <w:rPr>
      <w:rFonts w:ascii="Times New Roman" w:hAnsi="Times New Roman" w:eastAsia="仿宋_GB2312" w:cs="Times New Roman"/>
      <w:color w:val="000000" w:themeColor="text1"/>
      <w:sz w:val="32"/>
      <w:szCs w:val="28"/>
      <w14:textFill>
        <w14:solidFill>
          <w14:schemeClr w14:val="tx1"/>
        </w14:solidFill>
      </w14:textFill>
    </w:rPr>
  </w:style>
  <w:style w:type="paragraph" w:customStyle="1" w:styleId="74">
    <w:name w:val="正文1"/>
    <w:qFormat/>
    <w:uiPriority w:val="0"/>
    <w:pPr>
      <w:jc w:val="both"/>
    </w:pPr>
    <w:rPr>
      <w:rFonts w:ascii="Times New Roman" w:hAnsi="Times New Roman" w:eastAsia="宋体" w:cs="Times New Roman"/>
      <w:kern w:val="2"/>
      <w:sz w:val="21"/>
      <w:szCs w:val="21"/>
      <w:lang w:val="en-US" w:eastAsia="zh-CN" w:bidi="ar-SA"/>
    </w:rPr>
  </w:style>
  <w:style w:type="paragraph" w:styleId="75">
    <w:name w:val="No Spacing"/>
    <w:autoRedefine/>
    <w:qFormat/>
    <w:uiPriority w:val="1"/>
    <w:pPr>
      <w:widowControl w:val="0"/>
      <w:adjustRightInd w:val="0"/>
      <w:snapToGrid w:val="0"/>
      <w:ind w:firstLine="562" w:firstLineChars="200"/>
    </w:pPr>
    <w:rPr>
      <w:rFonts w:ascii="Times New Roman" w:hAnsi="Times New Roman" w:eastAsia="仿宋" w:cstheme="minorBidi"/>
      <w:bCs/>
      <w:kern w:val="2"/>
      <w:sz w:val="28"/>
      <w:szCs w:val="21"/>
      <w:lang w:val="en-US" w:eastAsia="zh-CN" w:bidi="ar-SA"/>
    </w:rPr>
  </w:style>
  <w:style w:type="character" w:customStyle="1" w:styleId="76">
    <w:name w:val="标题 1 字符1"/>
    <w:qFormat/>
    <w:uiPriority w:val="9"/>
  </w:style>
  <w:style w:type="character" w:customStyle="1" w:styleId="77">
    <w:name w:val="页脚 字符1"/>
    <w:qFormat/>
    <w:uiPriority w:val="99"/>
    <w:rPr>
      <w:sz w:val="18"/>
      <w:szCs w:val="18"/>
    </w:rPr>
  </w:style>
  <w:style w:type="character" w:customStyle="1" w:styleId="78">
    <w:name w:val="页眉 字符1"/>
    <w:qFormat/>
    <w:uiPriority w:val="0"/>
    <w:rPr>
      <w:sz w:val="18"/>
      <w:szCs w:val="18"/>
    </w:rPr>
  </w:style>
  <w:style w:type="paragraph" w:customStyle="1" w:styleId="79">
    <w:name w:val="列出段落1"/>
    <w:basedOn w:val="1"/>
    <w:qFormat/>
    <w:uiPriority w:val="34"/>
    <w:pPr>
      <w:spacing w:line="240" w:lineRule="auto"/>
      <w:ind w:firstLine="420"/>
    </w:pPr>
    <w:rPr>
      <w:rFonts w:ascii="Calibri" w:hAnsi="Calibri" w:eastAsia="宋体"/>
      <w:sz w:val="21"/>
      <w:szCs w:val="22"/>
    </w:rPr>
  </w:style>
  <w:style w:type="character" w:customStyle="1" w:styleId="80">
    <w:name w:val="正文文本1 Char"/>
    <w:link w:val="81"/>
    <w:qFormat/>
    <w:uiPriority w:val="0"/>
    <w:rPr>
      <w:rFonts w:eastAsia="仿宋"/>
      <w:sz w:val="32"/>
    </w:rPr>
  </w:style>
  <w:style w:type="paragraph" w:customStyle="1" w:styleId="81">
    <w:name w:val="正文文本1"/>
    <w:basedOn w:val="1"/>
    <w:next w:val="1"/>
    <w:link w:val="80"/>
    <w:qFormat/>
    <w:uiPriority w:val="0"/>
    <w:rPr>
      <w:rFonts w:eastAsia="仿宋" w:asciiTheme="minorHAnsi" w:hAnsiTheme="minorHAnsi" w:cstheme="minorBidi"/>
      <w:szCs w:val="22"/>
    </w:rPr>
  </w:style>
  <w:style w:type="character" w:customStyle="1" w:styleId="82">
    <w:name w:val="页眉 Char1"/>
    <w:qFormat/>
    <w:uiPriority w:val="0"/>
    <w:rPr>
      <w:rFonts w:ascii="Calibri" w:hAnsi="Calibri" w:eastAsia="宋体" w:cs="Times New Roman"/>
      <w:sz w:val="18"/>
      <w:szCs w:val="18"/>
    </w:rPr>
  </w:style>
  <w:style w:type="character" w:customStyle="1" w:styleId="83">
    <w:name w:val="页脚 Char1"/>
    <w:qFormat/>
    <w:uiPriority w:val="0"/>
    <w:rPr>
      <w:rFonts w:ascii="Calibri" w:hAnsi="Calibri" w:eastAsia="宋体" w:cs="Times New Roman"/>
      <w:sz w:val="18"/>
      <w:szCs w:val="18"/>
    </w:rPr>
  </w:style>
  <w:style w:type="character" w:customStyle="1" w:styleId="84">
    <w:name w:val="文档结构图 Char"/>
    <w:link w:val="85"/>
    <w:qFormat/>
    <w:uiPriority w:val="0"/>
    <w:rPr>
      <w:rFonts w:ascii="宋体"/>
      <w:sz w:val="18"/>
      <w:szCs w:val="18"/>
    </w:rPr>
  </w:style>
  <w:style w:type="paragraph" w:customStyle="1" w:styleId="85">
    <w:name w:val="文档结构图1"/>
    <w:basedOn w:val="1"/>
    <w:link w:val="84"/>
    <w:qFormat/>
    <w:uiPriority w:val="0"/>
    <w:pPr>
      <w:spacing w:line="240" w:lineRule="auto"/>
    </w:pPr>
    <w:rPr>
      <w:rFonts w:ascii="宋体" w:hAnsiTheme="minorHAnsi" w:eastAsiaTheme="minorEastAsia" w:cstheme="minorBidi"/>
      <w:sz w:val="18"/>
      <w:szCs w:val="18"/>
    </w:rPr>
  </w:style>
  <w:style w:type="character" w:customStyle="1" w:styleId="86">
    <w:name w:val="副标题 Char1"/>
    <w:qFormat/>
    <w:uiPriority w:val="11"/>
    <w:rPr>
      <w:rFonts w:ascii="Calibri Light" w:hAnsi="Calibri Light" w:eastAsia="宋体" w:cs="Times New Roman"/>
      <w:b/>
      <w:bCs/>
      <w:kern w:val="28"/>
      <w:sz w:val="32"/>
      <w:szCs w:val="32"/>
    </w:rPr>
  </w:style>
  <w:style w:type="paragraph" w:customStyle="1" w:styleId="87">
    <w:name w:val="列出段落11"/>
    <w:basedOn w:val="1"/>
    <w:qFormat/>
    <w:uiPriority w:val="0"/>
    <w:pPr>
      <w:spacing w:line="240" w:lineRule="auto"/>
      <w:ind w:firstLine="420"/>
    </w:pPr>
    <w:rPr>
      <w:rFonts w:ascii="Calibri" w:hAnsi="Calibri"/>
      <w:szCs w:val="22"/>
    </w:rPr>
  </w:style>
  <w:style w:type="paragraph" w:customStyle="1" w:styleId="88">
    <w:name w:val="列表段落1"/>
    <w:basedOn w:val="1"/>
    <w:link w:val="89"/>
    <w:qFormat/>
    <w:uiPriority w:val="99"/>
    <w:pPr>
      <w:spacing w:line="240" w:lineRule="auto"/>
      <w:ind w:firstLine="420"/>
    </w:pPr>
    <w:rPr>
      <w:rFonts w:ascii="Calibri" w:hAnsi="Calibri" w:eastAsia="宋体"/>
      <w:sz w:val="21"/>
      <w:szCs w:val="22"/>
    </w:rPr>
  </w:style>
  <w:style w:type="character" w:customStyle="1" w:styleId="89">
    <w:name w:val="列出段落 Char"/>
    <w:link w:val="88"/>
    <w:qFormat/>
    <w:locked/>
    <w:uiPriority w:val="99"/>
    <w:rPr>
      <w:rFonts w:ascii="Calibri" w:hAnsi="Calibri" w:eastAsia="宋体" w:cs="Times New Roman"/>
    </w:rPr>
  </w:style>
  <w:style w:type="paragraph" w:customStyle="1" w:styleId="90">
    <w:name w:val="列表段落2"/>
    <w:basedOn w:val="1"/>
    <w:qFormat/>
    <w:uiPriority w:val="99"/>
    <w:pPr>
      <w:spacing w:line="240" w:lineRule="auto"/>
      <w:ind w:firstLine="420"/>
    </w:pPr>
    <w:rPr>
      <w:rFonts w:ascii="Calibri" w:hAnsi="Calibri" w:eastAsia="宋体"/>
      <w:sz w:val="21"/>
      <w:szCs w:val="22"/>
    </w:rPr>
  </w:style>
  <w:style w:type="paragraph" w:customStyle="1" w:styleId="91">
    <w:name w:val="表"/>
    <w:qFormat/>
    <w:uiPriority w:val="0"/>
    <w:pPr>
      <w:adjustRightInd w:val="0"/>
      <w:snapToGrid w:val="0"/>
      <w:jc w:val="both"/>
    </w:pPr>
    <w:rPr>
      <w:rFonts w:ascii="Times New Roman" w:hAnsi="Times New Roman" w:eastAsia="仿宋_GB2312" w:cs="Times New Roman"/>
      <w:kern w:val="2"/>
      <w:sz w:val="21"/>
      <w:szCs w:val="21"/>
      <w:lang w:val="en-US" w:eastAsia="zh-CN" w:bidi="ar-SA"/>
    </w:rPr>
  </w:style>
  <w:style w:type="character" w:customStyle="1" w:styleId="92">
    <w:name w:val="标题 1 Char"/>
    <w:qFormat/>
    <w:uiPriority w:val="9"/>
    <w:rPr>
      <w:b/>
      <w:bCs/>
      <w:kern w:val="44"/>
      <w:sz w:val="24"/>
      <w:szCs w:val="44"/>
    </w:rPr>
  </w:style>
  <w:style w:type="paragraph" w:customStyle="1" w:styleId="93">
    <w:name w:val="表格区"/>
    <w:basedOn w:val="1"/>
    <w:link w:val="94"/>
    <w:qFormat/>
    <w:uiPriority w:val="0"/>
    <w:pPr>
      <w:spacing w:line="240" w:lineRule="auto"/>
      <w:ind w:firstLine="0" w:firstLineChars="0"/>
      <w:jc w:val="center"/>
    </w:pPr>
    <w:rPr>
      <w:rFonts w:cstheme="minorBidi"/>
      <w:sz w:val="21"/>
      <w:szCs w:val="22"/>
    </w:rPr>
  </w:style>
  <w:style w:type="character" w:customStyle="1" w:styleId="94">
    <w:name w:val="表格区 字符"/>
    <w:basedOn w:val="37"/>
    <w:link w:val="93"/>
    <w:qFormat/>
    <w:uiPriority w:val="0"/>
    <w:rPr>
      <w:rFonts w:ascii="Times New Roman" w:hAnsi="Times New Roman" w:eastAsia="仿宋_GB2312"/>
    </w:rPr>
  </w:style>
  <w:style w:type="character" w:customStyle="1" w:styleId="95">
    <w:name w:val="标题 Char"/>
    <w:qFormat/>
    <w:uiPriority w:val="10"/>
    <w:rPr>
      <w:rFonts w:ascii="Calibri Light" w:hAnsi="Calibri Light" w:cs="Times New Roman"/>
      <w:b/>
      <w:bCs/>
      <w:kern w:val="2"/>
      <w:sz w:val="32"/>
      <w:szCs w:val="32"/>
    </w:rPr>
  </w:style>
  <w:style w:type="character" w:customStyle="1" w:styleId="96">
    <w:name w:val="标题 5 Char"/>
    <w:qFormat/>
    <w:uiPriority w:val="9"/>
    <w:rPr>
      <w:rFonts w:ascii="Calibri" w:hAnsi="Calibri"/>
      <w:b/>
      <w:bCs/>
      <w:kern w:val="2"/>
      <w:sz w:val="28"/>
      <w:szCs w:val="28"/>
    </w:rPr>
  </w:style>
  <w:style w:type="paragraph" w:customStyle="1" w:styleId="97">
    <w:name w:val="修订2"/>
    <w:hidden/>
    <w:qFormat/>
    <w:uiPriority w:val="99"/>
    <w:rPr>
      <w:rFonts w:ascii="Times New Roman" w:hAnsi="Times New Roman" w:eastAsia="仿宋" w:cs="Times New Roman"/>
      <w:kern w:val="2"/>
      <w:sz w:val="32"/>
      <w:lang w:val="en-US" w:eastAsia="zh-CN" w:bidi="ar-SA"/>
    </w:rPr>
  </w:style>
  <w:style w:type="paragraph" w:customStyle="1" w:styleId="98">
    <w:name w:val="TOC 标题1"/>
    <w:basedOn w:val="2"/>
    <w:next w:val="1"/>
    <w:unhideWhenUsed/>
    <w:qFormat/>
    <w:uiPriority w:val="39"/>
    <w:pPr>
      <w:widowControl/>
      <w:spacing w:before="240" w:line="259" w:lineRule="auto"/>
      <w:outlineLvl w:val="9"/>
    </w:pPr>
    <w:rPr>
      <w:rFonts w:asciiTheme="majorHAnsi" w:hAnsiTheme="majorHAnsi" w:eastAsiaTheme="majorEastAsia" w:cstheme="majorBidi"/>
      <w:bCs w:val="0"/>
      <w:color w:val="2E75B6" w:themeColor="accent1" w:themeShade="BF"/>
      <w:kern w:val="0"/>
      <w:szCs w:val="32"/>
    </w:rPr>
  </w:style>
  <w:style w:type="character" w:customStyle="1" w:styleId="99">
    <w:name w:val="超链接1"/>
    <w:basedOn w:val="37"/>
    <w:unhideWhenUsed/>
    <w:qFormat/>
    <w:uiPriority w:val="99"/>
    <w:rPr>
      <w:color w:val="0563C1"/>
      <w:u w:val="single"/>
    </w:rPr>
  </w:style>
  <w:style w:type="character" w:customStyle="1" w:styleId="100">
    <w:name w:val="访问过的超链接1"/>
    <w:basedOn w:val="37"/>
    <w:unhideWhenUsed/>
    <w:qFormat/>
    <w:uiPriority w:val="99"/>
    <w:rPr>
      <w:color w:val="954F72"/>
      <w:u w:val="single"/>
    </w:rPr>
  </w:style>
  <w:style w:type="paragraph" w:customStyle="1" w:styleId="101">
    <w:name w:val="正文缩进1"/>
    <w:basedOn w:val="1"/>
    <w:qFormat/>
    <w:uiPriority w:val="99"/>
    <w:pPr>
      <w:spacing w:line="240" w:lineRule="auto"/>
      <w:ind w:firstLine="420"/>
    </w:pPr>
    <w:rPr>
      <w:rFonts w:asciiTheme="minorHAnsi" w:hAnsiTheme="minorHAnsi" w:eastAsiaTheme="minorEastAsia" w:cstheme="minorBidi"/>
      <w:sz w:val="21"/>
      <w:szCs w:val="22"/>
    </w:rPr>
  </w:style>
  <w:style w:type="paragraph" w:customStyle="1" w:styleId="102">
    <w:name w:val="补充材料"/>
    <w:basedOn w:val="1"/>
    <w:link w:val="103"/>
    <w:qFormat/>
    <w:uiPriority w:val="0"/>
    <w:pPr>
      <w:ind w:firstLine="0" w:firstLineChars="0"/>
    </w:pPr>
    <w:rPr>
      <w:rFonts w:eastAsia="楷体_GB2312"/>
      <w:color w:val="FF0000"/>
    </w:rPr>
  </w:style>
  <w:style w:type="character" w:customStyle="1" w:styleId="103">
    <w:name w:val="补充材料 Char"/>
    <w:basedOn w:val="37"/>
    <w:link w:val="102"/>
    <w:qFormat/>
    <w:uiPriority w:val="0"/>
    <w:rPr>
      <w:rFonts w:ascii="Times New Roman" w:hAnsi="Times New Roman" w:eastAsia="楷体_GB2312" w:cs="Times New Roman"/>
      <w:color w:val="FF0000"/>
      <w:sz w:val="32"/>
      <w:szCs w:val="20"/>
    </w:rPr>
  </w:style>
  <w:style w:type="paragraph" w:customStyle="1" w:styleId="104">
    <w:name w:val="章标题"/>
    <w:basedOn w:val="31"/>
    <w:qFormat/>
    <w:uiPriority w:val="0"/>
  </w:style>
  <w:style w:type="paragraph" w:customStyle="1" w:styleId="105">
    <w:name w:val="正文部分 Char Char Char"/>
    <w:basedOn w:val="12"/>
    <w:next w:val="104"/>
    <w:qFormat/>
    <w:uiPriority w:val="0"/>
    <w:pPr>
      <w:spacing w:line="460" w:lineRule="exact"/>
      <w:textAlignment w:val="baseline"/>
    </w:pPr>
    <w:rPr>
      <w:rFonts w:hAnsi="Calibri"/>
      <w:sz w:val="24"/>
    </w:rPr>
  </w:style>
  <w:style w:type="table" w:customStyle="1" w:styleId="106">
    <w:name w:val="图表111"/>
    <w:basedOn w:val="35"/>
    <w:qFormat/>
    <w:uiPriority w:val="99"/>
    <w:rPr>
      <w:rFonts w:ascii="Times New Roman" w:hAnsi="Times New Roman" w:eastAsia="仿宋_GB2312" w:cs="Times New Roman"/>
      <w:sz w:val="24"/>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tblHeader/>
      <w:jc w:val="center"/>
    </w:trPr>
    <w:tcPr>
      <w:vAlign w:val="center"/>
    </w:tcPr>
  </w:style>
  <w:style w:type="paragraph" w:customStyle="1" w:styleId="107">
    <w:name w:val="插图区"/>
    <w:basedOn w:val="1"/>
    <w:link w:val="108"/>
    <w:qFormat/>
    <w:uiPriority w:val="0"/>
    <w:pPr>
      <w:spacing w:line="360" w:lineRule="auto"/>
      <w:ind w:firstLine="0" w:firstLineChars="0"/>
      <w:jc w:val="center"/>
    </w:pPr>
  </w:style>
  <w:style w:type="character" w:customStyle="1" w:styleId="108">
    <w:name w:val="插图区 字符"/>
    <w:basedOn w:val="37"/>
    <w:link w:val="107"/>
    <w:qFormat/>
    <w:uiPriority w:val="0"/>
    <w:rPr>
      <w:rFonts w:ascii="Times New Roman" w:hAnsi="Times New Roman" w:eastAsia="仿宋_GB2312" w:cs="Times New Roman"/>
      <w:sz w:val="32"/>
      <w:szCs w:val="20"/>
    </w:rPr>
  </w:style>
  <w:style w:type="paragraph" w:customStyle="1" w:styleId="109">
    <w:name w:val="尾注"/>
    <w:basedOn w:val="1"/>
    <w:link w:val="110"/>
    <w:qFormat/>
    <w:uiPriority w:val="0"/>
    <w:pPr>
      <w:ind w:firstLine="643"/>
    </w:pPr>
    <w:rPr>
      <w:rFonts w:ascii="楷体_GB2312" w:eastAsia="楷体_GB2312"/>
    </w:rPr>
  </w:style>
  <w:style w:type="character" w:customStyle="1" w:styleId="110">
    <w:name w:val="尾注 字符"/>
    <w:basedOn w:val="37"/>
    <w:link w:val="109"/>
    <w:qFormat/>
    <w:uiPriority w:val="0"/>
    <w:rPr>
      <w:rFonts w:ascii="楷体_GB2312" w:hAnsi="Times New Roman" w:eastAsia="楷体_GB2312" w:cs="Times New Roman"/>
      <w:sz w:val="32"/>
      <w:szCs w:val="20"/>
    </w:rPr>
  </w:style>
  <w:style w:type="paragraph" w:customStyle="1" w:styleId="111">
    <w:name w:val="表格内容"/>
    <w:basedOn w:val="1"/>
    <w:link w:val="112"/>
    <w:qFormat/>
    <w:uiPriority w:val="0"/>
    <w:pPr>
      <w:widowControl/>
      <w:spacing w:line="240" w:lineRule="auto"/>
      <w:jc w:val="center"/>
    </w:pPr>
    <w:rPr>
      <w:rFonts w:cs="仿宋"/>
      <w:bCs/>
      <w:kern w:val="0"/>
      <w:szCs w:val="21"/>
    </w:rPr>
  </w:style>
  <w:style w:type="character" w:customStyle="1" w:styleId="112">
    <w:name w:val="表格内容 Char"/>
    <w:basedOn w:val="37"/>
    <w:link w:val="111"/>
    <w:qFormat/>
    <w:uiPriority w:val="0"/>
    <w:rPr>
      <w:rFonts w:ascii="Times New Roman" w:hAnsi="Times New Roman" w:eastAsia="仿宋_GB2312" w:cs="仿宋"/>
      <w:bCs/>
      <w:kern w:val="0"/>
      <w:sz w:val="32"/>
      <w:szCs w:val="21"/>
    </w:rPr>
  </w:style>
  <w:style w:type="character" w:customStyle="1" w:styleId="113">
    <w:name w:val="图例区 字符"/>
    <w:link w:val="114"/>
    <w:qFormat/>
    <w:uiPriority w:val="0"/>
    <w:rPr>
      <w:rFonts w:ascii="Times New Roman" w:hAnsi="Times New Roman" w:eastAsia="仿宋_GB2312" w:cs="Times New Roman"/>
      <w:sz w:val="24"/>
    </w:rPr>
  </w:style>
  <w:style w:type="paragraph" w:customStyle="1" w:styleId="114">
    <w:name w:val="图例区"/>
    <w:basedOn w:val="27"/>
    <w:link w:val="113"/>
    <w:qFormat/>
    <w:uiPriority w:val="0"/>
    <w:pPr>
      <w:spacing w:line="360" w:lineRule="auto"/>
      <w:outlineLvl w:val="0"/>
    </w:pPr>
    <w:rPr>
      <w:rFonts w:eastAsia="仿宋_GB2312"/>
    </w:rPr>
  </w:style>
  <w:style w:type="character" w:customStyle="1" w:styleId="115">
    <w:name w:val="图表 标题 Char"/>
    <w:link w:val="116"/>
    <w:qFormat/>
    <w:uiPriority w:val="0"/>
    <w:rPr>
      <w:rFonts w:ascii="Times New Roman" w:hAnsi="Times New Roman" w:eastAsia="黑体"/>
      <w:sz w:val="24"/>
    </w:rPr>
  </w:style>
  <w:style w:type="paragraph" w:customStyle="1" w:styleId="116">
    <w:name w:val="图表 标题"/>
    <w:basedOn w:val="1"/>
    <w:link w:val="115"/>
    <w:qFormat/>
    <w:uiPriority w:val="0"/>
    <w:pPr>
      <w:spacing w:line="240" w:lineRule="auto"/>
      <w:ind w:firstLine="0" w:firstLineChars="0"/>
      <w:jc w:val="center"/>
    </w:pPr>
    <w:rPr>
      <w:rFonts w:eastAsia="黑体" w:cstheme="minorBidi"/>
      <w:sz w:val="24"/>
      <w:szCs w:val="22"/>
    </w:rPr>
  </w:style>
  <w:style w:type="character" w:customStyle="1" w:styleId="117">
    <w:name w:val="表格 字符"/>
    <w:qFormat/>
    <w:uiPriority w:val="0"/>
    <w:rPr>
      <w:rFonts w:ascii="Times New Roman" w:hAnsi="Times New Roman" w:eastAsia="仿宋_GB2312" w:cs="Times New Roman"/>
      <w:sz w:val="28"/>
      <w:szCs w:val="20"/>
    </w:rPr>
  </w:style>
  <w:style w:type="paragraph" w:customStyle="1" w:styleId="118">
    <w:name w:val="修订3"/>
    <w:unhideWhenUsed/>
    <w:qFormat/>
    <w:uiPriority w:val="99"/>
    <w:rPr>
      <w:rFonts w:ascii="Times New Roman" w:hAnsi="Times New Roman" w:eastAsia="仿宋_GB2312" w:cs="Times New Roman"/>
      <w:kern w:val="2"/>
      <w:sz w:val="32"/>
      <w:lang w:val="en-US" w:eastAsia="zh-CN" w:bidi="ar-SA"/>
    </w:rPr>
  </w:style>
  <w:style w:type="paragraph" w:customStyle="1" w:styleId="119">
    <w:name w:val="修订4"/>
    <w:unhideWhenUsed/>
    <w:qFormat/>
    <w:uiPriority w:val="99"/>
    <w:rPr>
      <w:rFonts w:ascii="Times New Roman" w:hAnsi="Times New Roman" w:eastAsia="仿宋_GB2312" w:cs="Times New Roman"/>
      <w:kern w:val="2"/>
      <w:sz w:val="32"/>
      <w:lang w:val="en-US" w:eastAsia="zh-CN" w:bidi="ar-SA"/>
    </w:rPr>
  </w:style>
  <w:style w:type="paragraph" w:customStyle="1" w:styleId="120">
    <w:name w:val="修订311"/>
    <w:unhideWhenUsed/>
    <w:qFormat/>
    <w:uiPriority w:val="99"/>
    <w:rPr>
      <w:rFonts w:ascii="Times New Roman" w:hAnsi="Times New Roman" w:eastAsia="仿宋_GB2312" w:cs="Times New Roman"/>
      <w:kern w:val="2"/>
      <w:sz w:val="32"/>
      <w:lang w:val="en-US" w:eastAsia="zh-CN" w:bidi="ar-SA"/>
    </w:rPr>
  </w:style>
  <w:style w:type="paragraph" w:customStyle="1" w:styleId="121">
    <w:name w:val="段"/>
    <w:qFormat/>
    <w:uiPriority w:val="0"/>
    <w:pPr>
      <w:tabs>
        <w:tab w:val="center" w:pos="4201"/>
        <w:tab w:val="right" w:leader="dot" w:pos="9298"/>
      </w:tabs>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2">
    <w:name w:val="无间隔1"/>
    <w:qFormat/>
    <w:uiPriority w:val="1"/>
    <w:pPr>
      <w:widowControl w:val="0"/>
      <w:adjustRightInd w:val="0"/>
      <w:snapToGrid w:val="0"/>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123">
    <w:name w:val="表格内文"/>
    <w:basedOn w:val="1"/>
    <w:qFormat/>
    <w:uiPriority w:val="1"/>
    <w:pPr>
      <w:autoSpaceDE w:val="0"/>
      <w:autoSpaceDN w:val="0"/>
      <w:spacing w:line="240" w:lineRule="auto"/>
      <w:ind w:firstLine="0" w:firstLineChars="0"/>
      <w:jc w:val="center"/>
    </w:pPr>
    <w:rPr>
      <w:kern w:val="0"/>
      <w:sz w:val="21"/>
      <w:szCs w:val="22"/>
    </w:rPr>
  </w:style>
  <w:style w:type="paragraph" w:customStyle="1" w:styleId="124">
    <w:name w:val="修订21"/>
    <w:qFormat/>
    <w:uiPriority w:val="99"/>
    <w:rPr>
      <w:rFonts w:ascii="Times New Roman" w:hAnsi="Times New Roman" w:eastAsia="仿宋" w:cs="Times New Roman"/>
      <w:kern w:val="2"/>
      <w:sz w:val="32"/>
      <w:lang w:val="en-US" w:eastAsia="zh-CN" w:bidi="ar-SA"/>
    </w:rPr>
  </w:style>
  <w:style w:type="paragraph" w:customStyle="1" w:styleId="125">
    <w:name w:val="修订31"/>
    <w:unhideWhenUsed/>
    <w:qFormat/>
    <w:uiPriority w:val="99"/>
    <w:rPr>
      <w:rFonts w:ascii="Times New Roman" w:hAnsi="Times New Roman" w:eastAsia="仿宋_GB2312" w:cs="Times New Roman"/>
      <w:kern w:val="2"/>
      <w:sz w:val="32"/>
      <w:lang w:val="en-US" w:eastAsia="zh-CN" w:bidi="ar-SA"/>
    </w:rPr>
  </w:style>
  <w:style w:type="paragraph" w:customStyle="1" w:styleId="126">
    <w:name w:val="D正文"/>
    <w:basedOn w:val="1"/>
    <w:qFormat/>
    <w:uiPriority w:val="0"/>
    <w:pPr>
      <w:adjustRightInd/>
      <w:snapToGrid/>
      <w:spacing w:line="360" w:lineRule="auto"/>
    </w:pPr>
    <w:rPr>
      <w:rFonts w:eastAsia="仿宋"/>
      <w:szCs w:val="24"/>
    </w:rPr>
  </w:style>
  <w:style w:type="character" w:customStyle="1" w:styleId="127">
    <w:name w:val="old_pointer"/>
    <w:basedOn w:val="37"/>
    <w:qFormat/>
    <w:uiPriority w:val="0"/>
  </w:style>
  <w:style w:type="paragraph" w:customStyle="1" w:styleId="128">
    <w:name w:val="批注样式"/>
    <w:basedOn w:val="1"/>
    <w:link w:val="129"/>
    <w:qFormat/>
    <w:uiPriority w:val="0"/>
    <w:pPr>
      <w:ind w:firstLine="0" w:firstLineChars="0"/>
    </w:pPr>
    <w:rPr>
      <w:rFonts w:asciiTheme="majorEastAsia" w:hAnsiTheme="majorEastAsia" w:eastAsiaTheme="majorEastAsia"/>
      <w:color w:val="FF0000"/>
    </w:rPr>
  </w:style>
  <w:style w:type="character" w:customStyle="1" w:styleId="129">
    <w:name w:val="批注样式 字符"/>
    <w:basedOn w:val="37"/>
    <w:link w:val="128"/>
    <w:qFormat/>
    <w:uiPriority w:val="0"/>
    <w:rPr>
      <w:rFonts w:cs="Times New Roman" w:asciiTheme="majorEastAsia" w:hAnsiTheme="majorEastAsia" w:eastAsiaTheme="majorEastAsia"/>
      <w:color w:val="FF0000"/>
      <w:sz w:val="32"/>
      <w:szCs w:val="20"/>
    </w:rPr>
  </w:style>
  <w:style w:type="character" w:customStyle="1" w:styleId="130">
    <w:name w:val="text__nqvi"/>
    <w:basedOn w:val="37"/>
    <w:qFormat/>
    <w:uiPriority w:val="0"/>
  </w:style>
  <w:style w:type="paragraph" w:customStyle="1" w:styleId="131">
    <w:name w:val="修订1"/>
    <w:hidden/>
    <w:semiHidden/>
    <w:qFormat/>
    <w:uiPriority w:val="99"/>
    <w:rPr>
      <w:rFonts w:ascii="Times New Roman" w:hAnsi="Times New Roman" w:eastAsia="仿宋_GB2312" w:cs="Times New Roman"/>
      <w:kern w:val="2"/>
      <w:sz w:val="32"/>
      <w:lang w:val="en-US" w:eastAsia="zh-CN" w:bidi="ar-SA"/>
    </w:rPr>
  </w:style>
  <w:style w:type="paragraph" w:customStyle="1" w:styleId="132">
    <w:name w:val="font5"/>
    <w:basedOn w:val="1"/>
    <w:qFormat/>
    <w:uiPriority w:val="0"/>
    <w:pPr>
      <w:widowControl/>
      <w:adjustRightInd/>
      <w:snapToGrid/>
      <w:spacing w:before="100" w:beforeAutospacing="1" w:after="100" w:afterAutospacing="1" w:line="240" w:lineRule="auto"/>
      <w:ind w:firstLine="0" w:firstLineChars="0"/>
      <w:jc w:val="left"/>
    </w:pPr>
    <w:rPr>
      <w:rFonts w:ascii="宋体" w:hAnsi="宋体" w:eastAsia="宋体" w:cs="宋体"/>
      <w:kern w:val="0"/>
      <w:sz w:val="18"/>
      <w:szCs w:val="18"/>
    </w:rPr>
  </w:style>
  <w:style w:type="paragraph" w:customStyle="1" w:styleId="133">
    <w:name w:val="xl63"/>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134">
    <w:name w:val="xl64"/>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135">
    <w:name w:val="xl65"/>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宋体" w:hAnsi="宋体" w:eastAsia="宋体" w:cs="宋体"/>
      <w:kern w:val="0"/>
      <w:sz w:val="24"/>
      <w:szCs w:val="24"/>
    </w:rPr>
  </w:style>
  <w:style w:type="paragraph" w:customStyle="1" w:styleId="136">
    <w:name w:val="xl66"/>
    <w:basedOn w:val="1"/>
    <w:qFormat/>
    <w:uiPriority w:val="0"/>
    <w:pPr>
      <w:widowControl/>
      <w:pBdr>
        <w:top w:val="single" w:color="auto" w:sz="4" w:space="0"/>
        <w:left w:val="single" w:color="auto" w:sz="4" w:space="25"/>
        <w:bottom w:val="single" w:color="auto" w:sz="4" w:space="0"/>
        <w:right w:val="single" w:color="auto" w:sz="4" w:space="0"/>
      </w:pBdr>
      <w:adjustRightInd/>
      <w:snapToGrid/>
      <w:spacing w:before="100" w:beforeAutospacing="1" w:after="100" w:afterAutospacing="1" w:line="240" w:lineRule="auto"/>
      <w:ind w:firstLine="0" w:firstLineChars="100"/>
      <w:jc w:val="left"/>
    </w:pPr>
    <w:rPr>
      <w:rFonts w:ascii="宋体" w:hAnsi="宋体" w:eastAsia="宋体" w:cs="宋体"/>
      <w:kern w:val="0"/>
      <w:sz w:val="24"/>
      <w:szCs w:val="24"/>
    </w:rPr>
  </w:style>
  <w:style w:type="paragraph" w:customStyle="1" w:styleId="137">
    <w:name w:val="xl67"/>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textAlignment w:val="center"/>
    </w:pPr>
    <w:rPr>
      <w:rFonts w:ascii="宋体" w:hAnsi="宋体" w:eastAsia="宋体" w:cs="宋体"/>
      <w:kern w:val="0"/>
      <w:sz w:val="24"/>
      <w:szCs w:val="24"/>
    </w:rPr>
  </w:style>
  <w:style w:type="paragraph" w:customStyle="1" w:styleId="138">
    <w:name w:val="xl68"/>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139">
    <w:name w:val="xl69"/>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hAnsi="宋体" w:eastAsia="宋体" w:cs="宋体"/>
      <w:kern w:val="0"/>
      <w:sz w:val="24"/>
      <w:szCs w:val="24"/>
    </w:rPr>
  </w:style>
  <w:style w:type="paragraph" w:customStyle="1" w:styleId="140">
    <w:name w:val="TOC 标题2"/>
    <w:basedOn w:val="2"/>
    <w:next w:val="1"/>
    <w:unhideWhenUsed/>
    <w:qFormat/>
    <w:uiPriority w:val="39"/>
    <w:pPr>
      <w:keepNext/>
      <w:keepLines/>
      <w:widowControl/>
      <w:adjustRightInd/>
      <w:snapToGrid/>
      <w:spacing w:before="240" w:line="259" w:lineRule="auto"/>
      <w:jc w:val="left"/>
      <w:outlineLvl w:val="9"/>
    </w:pPr>
    <w:rPr>
      <w:rFonts w:asciiTheme="majorHAnsi" w:hAnsiTheme="majorHAnsi" w:eastAsiaTheme="majorEastAsia" w:cstheme="majorBidi"/>
      <w:bCs w:val="0"/>
      <w:color w:val="2E75B6" w:themeColor="accent1" w:themeShade="BF"/>
      <w:kern w:val="0"/>
      <w:szCs w:val="32"/>
    </w:rPr>
  </w:style>
  <w:style w:type="character" w:customStyle="1" w:styleId="141">
    <w:name w:val="未处理的提及1"/>
    <w:basedOn w:val="37"/>
    <w:semiHidden/>
    <w:unhideWhenUsed/>
    <w:qFormat/>
    <w:uiPriority w:val="99"/>
    <w:rPr>
      <w:color w:val="605E5C"/>
      <w:shd w:val="clear" w:color="auto" w:fill="E1DFDD"/>
    </w:rPr>
  </w:style>
  <w:style w:type="character" w:styleId="142">
    <w:name w:val="Placeholder Text"/>
    <w:basedOn w:val="37"/>
    <w:semiHidden/>
    <w:qFormat/>
    <w:uiPriority w:val="99"/>
    <w:rPr>
      <w:color w:val="808080"/>
    </w:rPr>
  </w:style>
  <w:style w:type="table" w:customStyle="1" w:styleId="143">
    <w:name w:val="网格型1"/>
    <w:basedOn w:val="35"/>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4">
    <w:name w:val="修订11"/>
    <w:semiHidden/>
    <w:qFormat/>
    <w:uiPriority w:val="99"/>
    <w:rPr>
      <w:rFonts w:ascii="Calibri" w:hAnsi="Calibri" w:eastAsia="宋体" w:cs="Times New Roman"/>
      <w:kern w:val="2"/>
      <w:sz w:val="21"/>
      <w:szCs w:val="22"/>
      <w:lang w:val="en-US" w:eastAsia="zh-CN" w:bidi="ar-SA"/>
    </w:rPr>
  </w:style>
  <w:style w:type="table" w:customStyle="1" w:styleId="145">
    <w:name w:val="图表"/>
    <w:basedOn w:val="35"/>
    <w:qFormat/>
    <w:uiPriority w:val="99"/>
    <w:rPr>
      <w:rFonts w:eastAsia="仿宋_GB2312"/>
      <w:sz w:val="24"/>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tblHeader/>
      <w:jc w:val="center"/>
    </w:trPr>
    <w:tcPr>
      <w:vAlign w:val="center"/>
    </w:tcPr>
  </w:style>
  <w:style w:type="table" w:customStyle="1" w:styleId="146">
    <w:name w:val="网格型2"/>
    <w:basedOn w:val="35"/>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7">
    <w:name w:val="网格型3"/>
    <w:basedOn w:val="35"/>
    <w:qFormat/>
    <w:uiPriority w:val="0"/>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8">
    <w:name w:val="网格型4"/>
    <w:basedOn w:val="35"/>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9">
    <w:name w:val="图表1"/>
    <w:basedOn w:val="35"/>
    <w:qFormat/>
    <w:uiPriority w:val="99"/>
    <w:rPr>
      <w:rFonts w:eastAsia="仿宋_GB2312"/>
      <w:sz w:val="24"/>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tblHeader/>
      <w:jc w:val="center"/>
    </w:trPr>
    <w:tcPr>
      <w:vAlign w:val="center"/>
    </w:tcPr>
  </w:style>
  <w:style w:type="table" w:customStyle="1" w:styleId="150">
    <w:name w:val="网格型11"/>
    <w:basedOn w:val="3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1">
    <w:name w:val="网格型5"/>
    <w:basedOn w:val="35"/>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2">
    <w:name w:val="图表2"/>
    <w:basedOn w:val="35"/>
    <w:qFormat/>
    <w:uiPriority w:val="99"/>
    <w:rPr>
      <w:rFonts w:eastAsia="仿宋_GB2312"/>
      <w:sz w:val="24"/>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tblHeader/>
      <w:jc w:val="center"/>
    </w:trPr>
    <w:tcPr>
      <w:vAlign w:val="center"/>
    </w:tcPr>
  </w:style>
  <w:style w:type="table" w:customStyle="1" w:styleId="153">
    <w:name w:val="网格型12"/>
    <w:basedOn w:val="3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4">
    <w:name w:val="标题 2 字符2"/>
    <w:basedOn w:val="37"/>
    <w:semiHidden/>
    <w:qFormat/>
    <w:uiPriority w:val="0"/>
    <w:rPr>
      <w:rFonts w:ascii="Times New Roman" w:hAnsi="Times New Roman" w:eastAsia="黑体" w:cs="Times New Roman"/>
      <w:b/>
      <w:bCs/>
      <w:kern w:val="2"/>
      <w:sz w:val="32"/>
      <w:szCs w:val="32"/>
    </w:rPr>
  </w:style>
  <w:style w:type="table" w:customStyle="1" w:styleId="155">
    <w:name w:val="网格型51"/>
    <w:basedOn w:val="3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6">
    <w:name w:val="网格型121"/>
    <w:basedOn w:val="35"/>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7">
    <w:name w:val="图表21"/>
    <w:basedOn w:val="35"/>
    <w:qFormat/>
    <w:uiPriority w:val="99"/>
    <w:rPr>
      <w:rFonts w:eastAsia="仿宋_GB2312"/>
      <w:sz w:val="24"/>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tblHeader/>
      <w:jc w:val="center"/>
    </w:trPr>
    <w:tcPr>
      <w:vAlign w:val="center"/>
    </w:tcPr>
  </w:style>
  <w:style w:type="table" w:customStyle="1" w:styleId="158">
    <w:name w:val="网格型21"/>
    <w:basedOn w:val="35"/>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9">
    <w:name w:val="网格型31"/>
    <w:basedOn w:val="35"/>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0">
    <w:name w:val="网格型41"/>
    <w:basedOn w:val="35"/>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1">
    <w:name w:val="图表11"/>
    <w:basedOn w:val="35"/>
    <w:qFormat/>
    <w:uiPriority w:val="99"/>
    <w:rPr>
      <w:rFonts w:eastAsia="仿宋_GB2312"/>
      <w:sz w:val="24"/>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tblHeader/>
      <w:jc w:val="center"/>
    </w:trPr>
    <w:tcPr>
      <w:vAlign w:val="center"/>
    </w:tcPr>
  </w:style>
  <w:style w:type="table" w:customStyle="1" w:styleId="162">
    <w:name w:val="网格型111"/>
    <w:basedOn w:val="3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3">
    <w:name w:val="网格型6"/>
    <w:basedOn w:val="35"/>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4">
    <w:name w:val="网格型7"/>
    <w:basedOn w:val="3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5">
    <w:name w:val="网格型8"/>
    <w:basedOn w:val="35"/>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6">
    <w:name w:val="网格型9"/>
    <w:basedOn w:val="3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7">
    <w:name w:val="网格型10"/>
    <w:basedOn w:val="35"/>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8">
    <w:name w:val="网格型13"/>
    <w:basedOn w:val="35"/>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9">
    <w:name w:val="网格型14"/>
    <w:basedOn w:val="35"/>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0">
    <w:name w:val="网格型15"/>
    <w:basedOn w:val="35"/>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1">
    <w:name w:val="图表3"/>
    <w:basedOn w:val="35"/>
    <w:qFormat/>
    <w:uiPriority w:val="99"/>
    <w:rPr>
      <w:rFonts w:ascii="Times New Roman" w:hAnsi="Times New Roman" w:eastAsia="仿宋_GB2312" w:cs="Times New Roman"/>
      <w:sz w:val="24"/>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tblHeader/>
      <w:jc w:val="center"/>
    </w:trPr>
    <w:tcPr>
      <w:vAlign w:val="center"/>
    </w:tcPr>
  </w:style>
  <w:style w:type="table" w:customStyle="1" w:styleId="172">
    <w:name w:val="网格型32"/>
    <w:basedOn w:val="35"/>
    <w:qFormat/>
    <w:uiPriority w:val="39"/>
    <w:rPr>
      <w:rFonts w:ascii="Times New Roman" w:hAnsi="Times New Roman" w:eastAsia="宋体" w:cs="Times New Roman"/>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3">
    <w:name w:val="网格型42"/>
    <w:basedOn w:val="35"/>
    <w:qFormat/>
    <w:uiPriority w:val="39"/>
    <w:rPr>
      <w:rFonts w:ascii="Times New Roman" w:hAnsi="Times New Roman" w:eastAsia="宋体" w:cs="Times New Roman"/>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4">
    <w:name w:val="图表12"/>
    <w:basedOn w:val="35"/>
    <w:qFormat/>
    <w:uiPriority w:val="99"/>
    <w:rPr>
      <w:rFonts w:ascii="Times New Roman" w:hAnsi="Times New Roman" w:eastAsia="仿宋_GB2312" w:cs="Times New Roman"/>
      <w:sz w:val="24"/>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tblHeader/>
      <w:jc w:val="center"/>
    </w:trPr>
    <w:tcPr>
      <w:vAlign w:val="center"/>
    </w:tcPr>
  </w:style>
  <w:style w:type="table" w:customStyle="1" w:styleId="175">
    <w:name w:val="网格型112"/>
    <w:basedOn w:val="35"/>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6">
    <w:name w:val="网格型52"/>
    <w:basedOn w:val="35"/>
    <w:qFormat/>
    <w:uiPriority w:val="39"/>
    <w:rPr>
      <w:rFonts w:ascii="Times New Roman" w:hAnsi="Times New Roman" w:eastAsia="宋体" w:cs="Times New Roman"/>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7">
    <w:name w:val="图表22"/>
    <w:basedOn w:val="35"/>
    <w:qFormat/>
    <w:uiPriority w:val="99"/>
    <w:rPr>
      <w:rFonts w:ascii="Times New Roman" w:hAnsi="Times New Roman" w:eastAsia="仿宋_GB2312" w:cs="Times New Roman"/>
      <w:sz w:val="24"/>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tblHeader/>
      <w:jc w:val="center"/>
    </w:trPr>
    <w:tcPr>
      <w:vAlign w:val="center"/>
    </w:tcPr>
  </w:style>
  <w:style w:type="table" w:customStyle="1" w:styleId="178">
    <w:name w:val="网格型122"/>
    <w:basedOn w:val="35"/>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9">
    <w:name w:val="网格型511"/>
    <w:basedOn w:val="35"/>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0">
    <w:name w:val="图表211"/>
    <w:basedOn w:val="35"/>
    <w:qFormat/>
    <w:uiPriority w:val="99"/>
    <w:rPr>
      <w:rFonts w:ascii="Times New Roman" w:hAnsi="Times New Roman" w:eastAsia="仿宋_GB2312" w:cs="Times New Roman"/>
      <w:sz w:val="24"/>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tblHeader/>
      <w:jc w:val="center"/>
    </w:trPr>
    <w:tcPr>
      <w:vAlign w:val="center"/>
    </w:tcPr>
  </w:style>
  <w:style w:type="table" w:customStyle="1" w:styleId="181">
    <w:name w:val="网格型311"/>
    <w:basedOn w:val="35"/>
    <w:qFormat/>
    <w:uiPriority w:val="39"/>
    <w:rPr>
      <w:rFonts w:ascii="Times New Roman" w:hAnsi="Times New Roman" w:eastAsia="宋体" w:cs="Times New Roman"/>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2">
    <w:name w:val="网格型411"/>
    <w:basedOn w:val="35"/>
    <w:qFormat/>
    <w:uiPriority w:val="39"/>
    <w:rPr>
      <w:rFonts w:ascii="Times New Roman" w:hAnsi="Times New Roman" w:eastAsia="宋体" w:cs="Times New Roman"/>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3">
    <w:name w:val="网格型1111"/>
    <w:basedOn w:val="35"/>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4">
    <w:name w:val="网格型16"/>
    <w:basedOn w:val="3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5">
    <w:name w:val="网格型17"/>
    <w:basedOn w:val="35"/>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6">
    <w:name w:val="图表4"/>
    <w:basedOn w:val="35"/>
    <w:qFormat/>
    <w:uiPriority w:val="99"/>
    <w:rPr>
      <w:rFonts w:eastAsia="仿宋_GB2312"/>
      <w:sz w:val="24"/>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tblHeader/>
      <w:jc w:val="center"/>
    </w:trPr>
    <w:tcPr>
      <w:vAlign w:val="center"/>
    </w:tcPr>
  </w:style>
  <w:style w:type="table" w:customStyle="1" w:styleId="187">
    <w:name w:val="网格型22"/>
    <w:basedOn w:val="35"/>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8">
    <w:name w:val="网格型33"/>
    <w:basedOn w:val="35"/>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9">
    <w:name w:val="网格型43"/>
    <w:basedOn w:val="35"/>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0">
    <w:name w:val="图表13"/>
    <w:basedOn w:val="35"/>
    <w:qFormat/>
    <w:uiPriority w:val="99"/>
    <w:rPr>
      <w:rFonts w:eastAsia="仿宋_GB2312"/>
      <w:sz w:val="24"/>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tblHeader/>
      <w:jc w:val="center"/>
    </w:trPr>
    <w:tcPr>
      <w:vAlign w:val="center"/>
    </w:tcPr>
  </w:style>
  <w:style w:type="table" w:customStyle="1" w:styleId="191">
    <w:name w:val="网格型113"/>
    <w:basedOn w:val="3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2">
    <w:name w:val="网格型53"/>
    <w:basedOn w:val="35"/>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3">
    <w:name w:val="图表23"/>
    <w:basedOn w:val="35"/>
    <w:qFormat/>
    <w:uiPriority w:val="99"/>
    <w:rPr>
      <w:rFonts w:eastAsia="仿宋_GB2312"/>
      <w:sz w:val="24"/>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tblHeader/>
      <w:jc w:val="center"/>
    </w:trPr>
    <w:tcPr>
      <w:vAlign w:val="center"/>
    </w:tcPr>
  </w:style>
  <w:style w:type="table" w:customStyle="1" w:styleId="194">
    <w:name w:val="网格型123"/>
    <w:basedOn w:val="3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5">
    <w:name w:val="网格型512"/>
    <w:basedOn w:val="3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6">
    <w:name w:val="网格型1211"/>
    <w:basedOn w:val="35"/>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7">
    <w:name w:val="图表212"/>
    <w:basedOn w:val="35"/>
    <w:qFormat/>
    <w:uiPriority w:val="99"/>
    <w:rPr>
      <w:rFonts w:eastAsia="仿宋_GB2312"/>
      <w:sz w:val="24"/>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tblHeader/>
      <w:jc w:val="center"/>
    </w:trPr>
    <w:tcPr>
      <w:vAlign w:val="center"/>
    </w:tcPr>
  </w:style>
  <w:style w:type="table" w:customStyle="1" w:styleId="198">
    <w:name w:val="网格型211"/>
    <w:basedOn w:val="35"/>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9">
    <w:name w:val="网格型312"/>
    <w:basedOn w:val="35"/>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0">
    <w:name w:val="网格型412"/>
    <w:basedOn w:val="35"/>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1">
    <w:name w:val="图表112"/>
    <w:basedOn w:val="35"/>
    <w:qFormat/>
    <w:uiPriority w:val="99"/>
    <w:rPr>
      <w:rFonts w:eastAsia="仿宋_GB2312"/>
      <w:sz w:val="24"/>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tblHeader/>
      <w:jc w:val="center"/>
    </w:trPr>
    <w:tcPr>
      <w:vAlign w:val="center"/>
    </w:tcPr>
  </w:style>
  <w:style w:type="table" w:customStyle="1" w:styleId="202">
    <w:name w:val="网格型1112"/>
    <w:basedOn w:val="3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3">
    <w:name w:val="网格型61"/>
    <w:basedOn w:val="35"/>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4">
    <w:name w:val="网格型71"/>
    <w:basedOn w:val="3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5">
    <w:name w:val="网格型81"/>
    <w:basedOn w:val="35"/>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6">
    <w:name w:val="网格型91"/>
    <w:basedOn w:val="3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7">
    <w:name w:val="网格型101"/>
    <w:basedOn w:val="35"/>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8">
    <w:name w:val="网格型131"/>
    <w:basedOn w:val="35"/>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9">
    <w:name w:val="网格型141"/>
    <w:basedOn w:val="35"/>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0">
    <w:name w:val="网格型151"/>
    <w:basedOn w:val="35"/>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1">
    <w:name w:val="图表31"/>
    <w:basedOn w:val="35"/>
    <w:qFormat/>
    <w:uiPriority w:val="99"/>
    <w:rPr>
      <w:rFonts w:ascii="Times New Roman" w:hAnsi="Times New Roman" w:eastAsia="仿宋_GB2312" w:cs="Times New Roman"/>
      <w:sz w:val="24"/>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tblHeader/>
      <w:jc w:val="center"/>
    </w:trPr>
    <w:tcPr>
      <w:vAlign w:val="center"/>
    </w:tcPr>
  </w:style>
  <w:style w:type="table" w:customStyle="1" w:styleId="212">
    <w:name w:val="网格型321"/>
    <w:basedOn w:val="35"/>
    <w:qFormat/>
    <w:uiPriority w:val="39"/>
    <w:rPr>
      <w:rFonts w:ascii="Times New Roman" w:hAnsi="Times New Roman" w:eastAsia="宋体" w:cs="Times New Roman"/>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3">
    <w:name w:val="网格型421"/>
    <w:basedOn w:val="35"/>
    <w:qFormat/>
    <w:uiPriority w:val="39"/>
    <w:rPr>
      <w:rFonts w:ascii="Times New Roman" w:hAnsi="Times New Roman" w:eastAsia="宋体" w:cs="Times New Roman"/>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4">
    <w:name w:val="图表121"/>
    <w:basedOn w:val="35"/>
    <w:qFormat/>
    <w:uiPriority w:val="99"/>
    <w:rPr>
      <w:rFonts w:ascii="Times New Roman" w:hAnsi="Times New Roman" w:eastAsia="仿宋_GB2312" w:cs="Times New Roman"/>
      <w:sz w:val="24"/>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tblHeader/>
      <w:jc w:val="center"/>
    </w:trPr>
    <w:tcPr>
      <w:vAlign w:val="center"/>
    </w:tcPr>
  </w:style>
  <w:style w:type="table" w:customStyle="1" w:styleId="215">
    <w:name w:val="网格型1121"/>
    <w:basedOn w:val="35"/>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6">
    <w:name w:val="网格型521"/>
    <w:basedOn w:val="35"/>
    <w:qFormat/>
    <w:uiPriority w:val="39"/>
    <w:rPr>
      <w:rFonts w:ascii="Times New Roman" w:hAnsi="Times New Roman" w:eastAsia="宋体" w:cs="Times New Roman"/>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7">
    <w:name w:val="图表221"/>
    <w:basedOn w:val="35"/>
    <w:qFormat/>
    <w:uiPriority w:val="99"/>
    <w:rPr>
      <w:rFonts w:ascii="Times New Roman" w:hAnsi="Times New Roman" w:eastAsia="仿宋_GB2312" w:cs="Times New Roman"/>
      <w:sz w:val="24"/>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tblHeader/>
      <w:jc w:val="center"/>
    </w:trPr>
    <w:tcPr>
      <w:vAlign w:val="center"/>
    </w:tcPr>
  </w:style>
  <w:style w:type="table" w:customStyle="1" w:styleId="218">
    <w:name w:val="网格型1221"/>
    <w:basedOn w:val="35"/>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9">
    <w:name w:val="网格型5111"/>
    <w:basedOn w:val="35"/>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0">
    <w:name w:val="图表2111"/>
    <w:basedOn w:val="35"/>
    <w:qFormat/>
    <w:uiPriority w:val="99"/>
    <w:rPr>
      <w:rFonts w:ascii="Times New Roman" w:hAnsi="Times New Roman" w:eastAsia="仿宋_GB2312" w:cs="Times New Roman"/>
      <w:sz w:val="24"/>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tblHeader/>
      <w:jc w:val="center"/>
    </w:trPr>
    <w:tcPr>
      <w:vAlign w:val="center"/>
    </w:tcPr>
  </w:style>
  <w:style w:type="table" w:customStyle="1" w:styleId="221">
    <w:name w:val="网格型3111"/>
    <w:basedOn w:val="35"/>
    <w:qFormat/>
    <w:uiPriority w:val="39"/>
    <w:rPr>
      <w:rFonts w:ascii="Times New Roman" w:hAnsi="Times New Roman" w:eastAsia="宋体" w:cs="Times New Roman"/>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2">
    <w:name w:val="网格型4111"/>
    <w:basedOn w:val="35"/>
    <w:qFormat/>
    <w:uiPriority w:val="39"/>
    <w:rPr>
      <w:rFonts w:ascii="Times New Roman" w:hAnsi="Times New Roman" w:eastAsia="宋体" w:cs="Times New Roman"/>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3">
    <w:name w:val="图表1111"/>
    <w:basedOn w:val="35"/>
    <w:qFormat/>
    <w:uiPriority w:val="99"/>
    <w:rPr>
      <w:rFonts w:ascii="Times New Roman" w:hAnsi="Times New Roman" w:eastAsia="仿宋_GB2312" w:cs="Times New Roman"/>
      <w:sz w:val="24"/>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tblHeader/>
      <w:jc w:val="center"/>
    </w:trPr>
    <w:tcPr>
      <w:vAlign w:val="center"/>
    </w:tcPr>
  </w:style>
  <w:style w:type="table" w:customStyle="1" w:styleId="224">
    <w:name w:val="网格型11111"/>
    <w:basedOn w:val="35"/>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25">
    <w:name w:val="占位符文本1"/>
    <w:semiHidden/>
    <w:qFormat/>
    <w:uiPriority w:val="99"/>
    <w:rPr>
      <w:color w:val="808080"/>
    </w:rPr>
  </w:style>
  <w:style w:type="character" w:customStyle="1" w:styleId="226">
    <w:name w:val="未处理的提及11"/>
    <w:basedOn w:val="37"/>
    <w:semiHidden/>
    <w:unhideWhenUsed/>
    <w:qFormat/>
    <w:uiPriority w:val="99"/>
    <w:rPr>
      <w:color w:val="605E5C"/>
      <w:shd w:val="clear" w:color="auto" w:fill="E1DFDD"/>
    </w:rPr>
  </w:style>
  <w:style w:type="character" w:customStyle="1" w:styleId="227">
    <w:name w:val="未处理的提及2"/>
    <w:basedOn w:val="37"/>
    <w:semiHidden/>
    <w:unhideWhenUsed/>
    <w:qFormat/>
    <w:uiPriority w:val="99"/>
    <w:rPr>
      <w:color w:val="605E5C"/>
      <w:shd w:val="clear" w:color="auto" w:fill="E1DFDD"/>
    </w:rPr>
  </w:style>
  <w:style w:type="character" w:customStyle="1" w:styleId="228">
    <w:name w:val="未处理的提及3"/>
    <w:basedOn w:val="37"/>
    <w:semiHidden/>
    <w:unhideWhenUsed/>
    <w:qFormat/>
    <w:uiPriority w:val="99"/>
    <w:rPr>
      <w:color w:val="605E5C"/>
      <w:shd w:val="clear" w:color="auto" w:fill="E1DFDD"/>
    </w:rPr>
  </w:style>
  <w:style w:type="character" w:customStyle="1" w:styleId="229">
    <w:name w:val="未处理的提及4"/>
    <w:basedOn w:val="37"/>
    <w:semiHidden/>
    <w:unhideWhenUsed/>
    <w:qFormat/>
    <w:uiPriority w:val="99"/>
    <w:rPr>
      <w:color w:val="605E5C"/>
      <w:shd w:val="clear" w:color="auto" w:fill="E1DFDD"/>
    </w:rPr>
  </w:style>
  <w:style w:type="table" w:customStyle="1" w:styleId="230">
    <w:name w:val="网格型18"/>
    <w:basedOn w:val="35"/>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1">
    <w:name w:val="网格型181"/>
    <w:basedOn w:val="35"/>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2">
    <w:name w:val="网格型19"/>
    <w:basedOn w:val="35"/>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33">
    <w:name w:val="text_xnrkb"/>
    <w:basedOn w:val="37"/>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75009-35E8-4F72-8A7D-3419AA281C42}">
  <ds:schemaRefs/>
</ds:datastoreItem>
</file>

<file path=docProps/app.xml><?xml version="1.0" encoding="utf-8"?>
<Properties xmlns="http://schemas.openxmlformats.org/officeDocument/2006/extended-properties" xmlns:vt="http://schemas.openxmlformats.org/officeDocument/2006/docPropsVTypes">
  <Template>Normal</Template>
  <Pages>28</Pages>
  <Words>13471</Words>
  <Characters>13694</Characters>
  <Lines>303</Lines>
  <Paragraphs>85</Paragraphs>
  <TotalTime>1</TotalTime>
  <ScaleCrop>false</ScaleCrop>
  <LinksUpToDate>false</LinksUpToDate>
  <CharactersWithSpaces>13830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2026-03-04T14:57:00Z</dcterms:created>
  <dc:creator>lnn</dc:creator>
  <cp:lastModifiedBy>乔木花果齐</cp:lastModifiedBy>
  <dcterms:modified xsi:type="dcterms:W3CDTF">2026-03-24T02:51:20Z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eyJoZGlkIjoiMWNiNDMzZjQwN2QxYWU1NjY3MzVmMGFkMjZhNjBjNDEiLCJ1c2VySWQiOiI0NjU5NjUwMzcifQ==</vt:lpwstr>
  </property>
  <property fmtid="{D5CDD505-2E9C-101B-9397-08002B2CF9AE}" pid="3" name="KSOProductBuildVer">
    <vt:lpwstr>2052-12.1.0.25225</vt:lpwstr>
  </property>
  <property fmtid="{D5CDD505-2E9C-101B-9397-08002B2CF9AE}" pid="4" name="ICV">
    <vt:lpwstr>D05816147E944600861C1BF9367B8B61_12</vt:lpwstr>
  </property>
</Properties>
</file>