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北京市朝阳区投资促进服务中心</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招商引资及推介大型专项活动经费</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绩效评价报告</w:t>
      </w:r>
    </w:p>
    <w:p>
      <w:pPr>
        <w:rPr>
          <w:rFonts w:ascii="仿宋_GB2312" w:eastAsia="仿宋_GB2312"/>
          <w:sz w:val="32"/>
          <w:szCs w:val="32"/>
        </w:rPr>
      </w:pP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基本情况</w:t>
      </w:r>
    </w:p>
    <w:p>
      <w:pPr>
        <w:numPr>
          <w:ilvl w:val="0"/>
          <w:numId w:val="2"/>
        </w:num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项目概况。</w:t>
      </w:r>
    </w:p>
    <w:p>
      <w:pPr>
        <w:numPr>
          <w:ilvl w:val="0"/>
          <w:numId w:val="3"/>
        </w:numPr>
        <w:spacing w:line="600" w:lineRule="exact"/>
        <w:ind w:firstLine="640" w:firstLineChars="200"/>
        <w:rPr>
          <w:rFonts w:eastAsia="仿宋_GB2312"/>
          <w:sz w:val="32"/>
          <w:szCs w:val="32"/>
        </w:rPr>
      </w:pPr>
      <w:r>
        <w:rPr>
          <w:rFonts w:eastAsia="仿宋_GB2312"/>
          <w:sz w:val="32"/>
          <w:szCs w:val="32"/>
        </w:rPr>
        <w:t>项目背景</w:t>
      </w:r>
    </w:p>
    <w:p>
      <w:pPr>
        <w:spacing w:line="560" w:lineRule="exact"/>
        <w:ind w:firstLine="664" w:firstLineChars="200"/>
        <w:rPr>
          <w:rFonts w:hint="eastAsia" w:eastAsia="仿宋_GB2312"/>
          <w:bCs/>
          <w:spacing w:val="6"/>
          <w:sz w:val="32"/>
          <w:szCs w:val="32"/>
        </w:rPr>
      </w:pPr>
      <w:r>
        <w:rPr>
          <w:rFonts w:hint="eastAsia" w:eastAsia="仿宋_GB2312"/>
          <w:bCs/>
          <w:spacing w:val="6"/>
          <w:sz w:val="32"/>
          <w:szCs w:val="32"/>
        </w:rPr>
        <w:t>京港洽谈会自1997年以来，已经成功举办26届。二十多年来，京港洽谈会为两地经贸、科技、服务等多领域合作搭建了稳固的平台，合作领域不断拓展，“朋友圈”持续扩容，交流形式丰富多样，两地经贸稳定增长，文化交融多元互鉴，两地经济、社会逐步形成了兼容并蓄、合作发展的良好局面。</w:t>
      </w:r>
    </w:p>
    <w:p>
      <w:pPr>
        <w:spacing w:line="560" w:lineRule="exact"/>
        <w:ind w:firstLine="664" w:firstLineChars="200"/>
        <w:rPr>
          <w:rFonts w:eastAsia="仿宋_GB2312"/>
          <w:sz w:val="32"/>
          <w:szCs w:val="32"/>
        </w:rPr>
      </w:pPr>
      <w:r>
        <w:rPr>
          <w:rFonts w:hint="eastAsia" w:eastAsia="仿宋_GB2312"/>
          <w:bCs/>
          <w:spacing w:val="6"/>
          <w:sz w:val="32"/>
          <w:szCs w:val="32"/>
        </w:rPr>
        <w:t>第二十七届北京</w:t>
      </w:r>
      <w:r>
        <w:rPr>
          <w:rFonts w:hint="eastAsia" w:ascii="仿宋_GB2312" w:hAnsi="仿宋_GB2312" w:eastAsia="仿宋_GB2312" w:cs="仿宋_GB2312"/>
          <w:bCs/>
          <w:spacing w:val="6"/>
          <w:sz w:val="32"/>
          <w:szCs w:val="32"/>
        </w:rPr>
        <w:t>·</w:t>
      </w:r>
      <w:r>
        <w:rPr>
          <w:rFonts w:hint="eastAsia" w:eastAsia="仿宋_GB2312"/>
          <w:bCs/>
          <w:spacing w:val="6"/>
          <w:sz w:val="32"/>
          <w:szCs w:val="32"/>
        </w:rPr>
        <w:t>香港合作研讨洽谈会</w:t>
      </w:r>
      <w:r>
        <w:rPr>
          <w:rFonts w:hint="eastAsia" w:eastAsia="仿宋_GB2312"/>
          <w:bCs/>
          <w:sz w:val="32"/>
          <w:szCs w:val="32"/>
        </w:rPr>
        <w:t>于</w:t>
      </w:r>
      <w:r>
        <w:rPr>
          <w:rFonts w:hint="eastAsia" w:eastAsia="仿宋_GB2312"/>
          <w:bCs/>
          <w:sz w:val="32"/>
          <w:szCs w:val="32"/>
          <w:lang w:val="en-US" w:eastAsia="zh-CN"/>
        </w:rPr>
        <w:t>2024年</w:t>
      </w:r>
      <w:r>
        <w:rPr>
          <w:rFonts w:hint="eastAsia" w:eastAsia="仿宋_GB2312"/>
          <w:bCs/>
          <w:sz w:val="32"/>
          <w:szCs w:val="32"/>
        </w:rPr>
        <w:t>9月20日至21日在北京举办。根据市投促中心相关部署，朝阳区</w:t>
      </w:r>
      <w:r>
        <w:rPr>
          <w:rFonts w:eastAsia="仿宋_GB2312"/>
          <w:bCs/>
          <w:sz w:val="32"/>
          <w:szCs w:val="32"/>
        </w:rPr>
        <w:t>在</w:t>
      </w:r>
      <w:r>
        <w:rPr>
          <w:rFonts w:hint="eastAsia" w:eastAsia="仿宋_GB2312"/>
          <w:bCs/>
          <w:sz w:val="32"/>
          <w:szCs w:val="32"/>
        </w:rPr>
        <w:t>本届京港会期间举办</w:t>
      </w:r>
      <w:r>
        <w:rPr>
          <w:rFonts w:hint="eastAsia" w:eastAsia="仿宋_GB2312"/>
          <w:bCs/>
          <w:spacing w:val="6"/>
          <w:sz w:val="32"/>
          <w:szCs w:val="32"/>
        </w:rPr>
        <w:t>“与世界 共朝阳”专场推介会（以下简称“专场活动”）</w:t>
      </w:r>
      <w:r>
        <w:rPr>
          <w:rFonts w:hint="eastAsia" w:eastAsia="仿宋_GB2312"/>
          <w:bCs/>
          <w:sz w:val="32"/>
          <w:szCs w:val="32"/>
        </w:rPr>
        <w:t>。专场活动聚焦“商务+科技”，赋能朝阳高质量发展，围绕朝阳区“两区”开放，突出朝阳区的国际化市场优势、新应用场景的产业优势、新生态的绿色发展空间优势。邀请机构代表、企业家代表、投资人，探讨京港合作新机遇，促进数字经济和商务服务深度融合，打造具有国际竞争力的数字产业集群，推动朝阳区商务服务业高质量发展。</w:t>
      </w:r>
    </w:p>
    <w:p>
      <w:pPr>
        <w:numPr>
          <w:ilvl w:val="0"/>
          <w:numId w:val="3"/>
        </w:numPr>
        <w:spacing w:line="560" w:lineRule="exact"/>
        <w:ind w:firstLine="640" w:firstLineChars="200"/>
        <w:rPr>
          <w:rFonts w:eastAsia="仿宋_GB2312"/>
          <w:sz w:val="32"/>
          <w:szCs w:val="32"/>
        </w:rPr>
      </w:pPr>
      <w:r>
        <w:rPr>
          <w:rFonts w:eastAsia="仿宋_GB2312"/>
          <w:sz w:val="32"/>
          <w:szCs w:val="32"/>
        </w:rPr>
        <w:t>主要内容及实施情况</w:t>
      </w:r>
    </w:p>
    <w:p>
      <w:pPr>
        <w:spacing w:line="560" w:lineRule="exact"/>
        <w:ind w:firstLine="640" w:firstLineChars="200"/>
        <w:rPr>
          <w:rFonts w:eastAsia="仿宋_GB2312"/>
          <w:sz w:val="32"/>
          <w:szCs w:val="32"/>
        </w:rPr>
      </w:pPr>
      <w:r>
        <w:rPr>
          <w:rFonts w:eastAsia="仿宋_GB2312"/>
          <w:sz w:val="32"/>
          <w:szCs w:val="32"/>
        </w:rPr>
        <w:t>在第二十七届北京· 香港经济合作研讨洽谈会（简称</w:t>
      </w:r>
      <w:r>
        <w:rPr>
          <w:rFonts w:hint="eastAsia" w:eastAsia="仿宋_GB2312"/>
          <w:sz w:val="32"/>
          <w:szCs w:val="32"/>
        </w:rPr>
        <w:t>“</w:t>
      </w:r>
      <w:r>
        <w:rPr>
          <w:rFonts w:eastAsia="仿宋_GB2312"/>
          <w:sz w:val="32"/>
          <w:szCs w:val="32"/>
        </w:rPr>
        <w:t>京港洽谈会</w:t>
      </w:r>
      <w:r>
        <w:rPr>
          <w:rFonts w:hint="eastAsia" w:eastAsia="仿宋_GB2312"/>
          <w:sz w:val="32"/>
          <w:szCs w:val="32"/>
        </w:rPr>
        <w:t>”</w:t>
      </w:r>
      <w:r>
        <w:rPr>
          <w:rFonts w:eastAsia="仿宋_GB2312"/>
          <w:sz w:val="32"/>
          <w:szCs w:val="32"/>
        </w:rPr>
        <w:t>）举办期间，</w:t>
      </w:r>
      <w:r>
        <w:rPr>
          <w:rFonts w:hint="eastAsia" w:eastAsia="仿宋_GB2312"/>
          <w:sz w:val="32"/>
          <w:szCs w:val="32"/>
          <w:lang w:eastAsia="zh-CN"/>
        </w:rPr>
        <w:t>朝阳区召开了“</w:t>
      </w:r>
      <w:r>
        <w:rPr>
          <w:rFonts w:eastAsia="仿宋_GB2312"/>
          <w:sz w:val="32"/>
          <w:szCs w:val="32"/>
        </w:rPr>
        <w:t>与世界 共朝阳</w:t>
      </w:r>
      <w:r>
        <w:rPr>
          <w:rFonts w:hint="eastAsia" w:eastAsia="仿宋_GB2312"/>
          <w:sz w:val="32"/>
          <w:szCs w:val="32"/>
          <w:lang w:eastAsia="zh-CN"/>
        </w:rPr>
        <w:t>”</w:t>
      </w:r>
      <w:r>
        <w:rPr>
          <w:rFonts w:eastAsia="仿宋_GB2312"/>
          <w:sz w:val="32"/>
          <w:szCs w:val="32"/>
        </w:rPr>
        <w:t>专场推介会</w:t>
      </w:r>
      <w:r>
        <w:rPr>
          <w:rFonts w:hint="eastAsia" w:eastAsia="仿宋_GB2312"/>
          <w:sz w:val="32"/>
          <w:szCs w:val="32"/>
          <w:lang w:eastAsia="zh-CN"/>
        </w:rPr>
        <w:t>。来自京港两地的</w:t>
      </w:r>
      <w:r>
        <w:rPr>
          <w:rFonts w:hint="eastAsia" w:eastAsia="仿宋_GB2312"/>
          <w:sz w:val="32"/>
          <w:szCs w:val="32"/>
          <w:lang w:val="en-US" w:eastAsia="zh-CN"/>
        </w:rPr>
        <w:t>130多家企业参加。</w:t>
      </w:r>
      <w:r>
        <w:rPr>
          <w:rFonts w:eastAsia="仿宋_GB2312"/>
          <w:sz w:val="32"/>
          <w:szCs w:val="32"/>
        </w:rPr>
        <w:t>在专题推介环节，围绕朝阳区区情及投资机遇</w:t>
      </w:r>
      <w:r>
        <w:rPr>
          <w:rFonts w:hint="eastAsia" w:eastAsia="仿宋_GB2312"/>
          <w:sz w:val="32"/>
          <w:szCs w:val="32"/>
          <w:lang w:eastAsia="zh-CN"/>
        </w:rPr>
        <w:t>、</w:t>
      </w:r>
      <w:r>
        <w:rPr>
          <w:rFonts w:eastAsia="仿宋_GB2312"/>
          <w:sz w:val="32"/>
          <w:szCs w:val="32"/>
        </w:rPr>
        <w:t>最新产业政策</w:t>
      </w:r>
      <w:r>
        <w:rPr>
          <w:rFonts w:hint="eastAsia" w:eastAsia="仿宋_GB2312"/>
          <w:sz w:val="32"/>
          <w:szCs w:val="32"/>
          <w:lang w:eastAsia="zh-CN"/>
        </w:rPr>
        <w:t>、</w:t>
      </w:r>
      <w:r>
        <w:rPr>
          <w:rFonts w:eastAsia="仿宋_GB2312"/>
          <w:sz w:val="32"/>
          <w:szCs w:val="32"/>
        </w:rPr>
        <w:t>重点承载空间进行介绍。</w:t>
      </w:r>
      <w:r>
        <w:rPr>
          <w:rFonts w:hint="eastAsia" w:eastAsia="仿宋_GB2312"/>
          <w:sz w:val="32"/>
          <w:szCs w:val="32"/>
          <w:lang w:eastAsia="zh-CN"/>
        </w:rPr>
        <w:t>港资企业代表</w:t>
      </w:r>
      <w:r>
        <w:rPr>
          <w:rFonts w:eastAsia="仿宋_GB2312"/>
          <w:sz w:val="32"/>
          <w:szCs w:val="32"/>
        </w:rPr>
        <w:t>分享在北京朝阳的发展历程以及朝阳区良好的营商环境体验。</w:t>
      </w:r>
    </w:p>
    <w:p>
      <w:pPr>
        <w:spacing w:line="560" w:lineRule="exact"/>
        <w:ind w:firstLine="640" w:firstLineChars="200"/>
        <w:rPr>
          <w:rFonts w:ascii="仿宋_GB2312" w:hAnsi="仿宋_GB2312" w:eastAsia="仿宋_GB2312" w:cs="仿宋_GB2312"/>
          <w:sz w:val="32"/>
          <w:szCs w:val="32"/>
        </w:rPr>
      </w:pPr>
      <w:r>
        <w:rPr>
          <w:rFonts w:eastAsia="仿宋_GB2312"/>
          <w:sz w:val="32"/>
          <w:szCs w:val="32"/>
        </w:rPr>
        <w:t>3、</w:t>
      </w:r>
      <w:r>
        <w:rPr>
          <w:rFonts w:hint="eastAsia" w:ascii="仿宋_GB2312" w:hAnsi="仿宋_GB2312" w:eastAsia="仿宋_GB2312" w:cs="仿宋_GB2312"/>
          <w:sz w:val="32"/>
          <w:szCs w:val="32"/>
        </w:rPr>
        <w:t>资金投入和使用情况</w:t>
      </w:r>
    </w:p>
    <w:p>
      <w:pPr>
        <w:spacing w:line="560" w:lineRule="exact"/>
        <w:ind w:firstLine="640" w:firstLineChars="200"/>
        <w:jc w:val="both"/>
        <w:rPr>
          <w:rFonts w:hint="eastAsia" w:eastAsia="仿宋_GB2312"/>
          <w:sz w:val="32"/>
          <w:szCs w:val="32"/>
        </w:rPr>
      </w:pPr>
      <w:r>
        <w:rPr>
          <w:rFonts w:hint="eastAsia" w:eastAsia="仿宋_GB2312"/>
          <w:sz w:val="32"/>
          <w:szCs w:val="32"/>
        </w:rPr>
        <w:t>2024年批复</w:t>
      </w:r>
      <w:bookmarkStart w:id="1" w:name="_GoBack"/>
      <w:r>
        <w:rPr>
          <w:rFonts w:hint="eastAsia" w:eastAsia="仿宋_GB2312"/>
          <w:sz w:val="32"/>
          <w:szCs w:val="32"/>
        </w:rPr>
        <w:t>招商引资</w:t>
      </w:r>
      <w:bookmarkEnd w:id="1"/>
      <w:r>
        <w:rPr>
          <w:rFonts w:hint="eastAsia" w:eastAsia="仿宋_GB2312"/>
          <w:sz w:val="32"/>
          <w:szCs w:val="32"/>
        </w:rPr>
        <w:t>及推介大型专项活动经费</w:t>
      </w:r>
      <w:r>
        <w:rPr>
          <w:rFonts w:hint="eastAsia" w:eastAsia="仿宋_GB2312"/>
          <w:sz w:val="32"/>
          <w:szCs w:val="32"/>
          <w:lang w:eastAsia="zh-CN"/>
        </w:rPr>
        <w:t>项目</w:t>
      </w:r>
      <w:r>
        <w:rPr>
          <w:rFonts w:hint="eastAsia" w:eastAsia="仿宋_GB2312"/>
          <w:sz w:val="32"/>
          <w:szCs w:val="32"/>
        </w:rPr>
        <w:t>预算90万元，该项目实际支出90万元，执行率100%。</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560" w:lineRule="exact"/>
        <w:ind w:firstLine="640" w:firstLineChars="200"/>
        <w:rPr>
          <w:rFonts w:eastAsia="仿宋_GB2312"/>
          <w:sz w:val="32"/>
          <w:szCs w:val="32"/>
        </w:rPr>
      </w:pPr>
      <w:r>
        <w:rPr>
          <w:rFonts w:eastAsia="仿宋_GB2312"/>
          <w:sz w:val="32"/>
          <w:szCs w:val="32"/>
        </w:rPr>
        <w:t>1、总体目标</w:t>
      </w:r>
    </w:p>
    <w:p>
      <w:pPr>
        <w:spacing w:line="560" w:lineRule="exact"/>
        <w:ind w:firstLine="640" w:firstLineChars="200"/>
        <w:rPr>
          <w:rFonts w:eastAsia="仿宋_GB2312"/>
          <w:sz w:val="32"/>
          <w:szCs w:val="32"/>
        </w:rPr>
      </w:pPr>
      <w:r>
        <w:rPr>
          <w:rFonts w:hint="eastAsia" w:eastAsia="仿宋_GB2312"/>
          <w:sz w:val="32"/>
          <w:szCs w:val="32"/>
          <w:lang w:eastAsia="zh-CN"/>
        </w:rPr>
        <w:t>本次活动</w:t>
      </w:r>
      <w:r>
        <w:rPr>
          <w:rFonts w:hint="eastAsia" w:ascii="Times New Roman" w:hAnsi="Times New Roman" w:eastAsia="仿宋_GB2312"/>
          <w:bCs/>
          <w:sz w:val="32"/>
          <w:szCs w:val="32"/>
          <w:lang w:eastAsia="zh-CN"/>
        </w:rPr>
        <w:t>围绕京港两地经济互补性，聚焦金融、科技、商贸物流、专业服务、消费、文旅等重点产业领域。通过政策宣传、环境推介、研讨交流、对</w:t>
      </w:r>
      <w:r>
        <w:rPr>
          <w:rFonts w:hint="eastAsia" w:ascii="Times New Roman" w:hAnsi="Times New Roman" w:eastAsia="仿宋_GB2312"/>
          <w:bCs/>
          <w:spacing w:val="-6"/>
          <w:sz w:val="32"/>
          <w:szCs w:val="32"/>
          <w:lang w:eastAsia="zh-CN"/>
        </w:rPr>
        <w:t>接洽谈、参观考察等形式，推动两地合作，促进</w:t>
      </w:r>
      <w:r>
        <w:rPr>
          <w:rFonts w:hint="eastAsia" w:eastAsia="仿宋_GB2312"/>
          <w:bCs/>
          <w:spacing w:val="-6"/>
          <w:sz w:val="32"/>
          <w:szCs w:val="32"/>
          <w:lang w:eastAsia="zh-CN"/>
        </w:rPr>
        <w:t>朝阳区和香港</w:t>
      </w:r>
      <w:r>
        <w:rPr>
          <w:rFonts w:hint="eastAsia" w:ascii="Times New Roman" w:hAnsi="Times New Roman" w:eastAsia="仿宋_GB2312"/>
          <w:bCs/>
          <w:spacing w:val="-6"/>
          <w:sz w:val="32"/>
          <w:szCs w:val="32"/>
          <w:lang w:eastAsia="zh-CN"/>
        </w:rPr>
        <w:t>互惠共赢。</w:t>
      </w:r>
    </w:p>
    <w:p>
      <w:pPr>
        <w:spacing w:line="560" w:lineRule="exact"/>
        <w:ind w:firstLine="640" w:firstLineChars="200"/>
        <w:rPr>
          <w:rFonts w:eastAsia="仿宋_GB2312"/>
          <w:sz w:val="32"/>
          <w:szCs w:val="32"/>
        </w:rPr>
      </w:pPr>
      <w:r>
        <w:rPr>
          <w:rFonts w:eastAsia="仿宋_GB2312"/>
          <w:sz w:val="32"/>
          <w:szCs w:val="32"/>
        </w:rPr>
        <w:t>2、阶段性目标</w:t>
      </w:r>
    </w:p>
    <w:p>
      <w:pPr>
        <w:spacing w:line="560" w:lineRule="exact"/>
        <w:ind w:firstLine="640" w:firstLineChars="200"/>
        <w:rPr>
          <w:rFonts w:hint="eastAsia" w:eastAsia="仿宋_GB2312"/>
          <w:sz w:val="32"/>
          <w:szCs w:val="32"/>
          <w:lang w:eastAsia="zh-CN"/>
        </w:rPr>
      </w:pPr>
      <w:r>
        <w:rPr>
          <w:rFonts w:hint="eastAsia" w:eastAsia="仿宋_GB2312"/>
          <w:sz w:val="32"/>
          <w:szCs w:val="32"/>
        </w:rPr>
        <w:t>在第二十七届京港会期间举办朝阳区专场推介会，在北京通过线下专题活动的方式开展招商推介活动，提供在京港会期间举办专题活动的所有设备及技术支持</w:t>
      </w:r>
      <w:r>
        <w:rPr>
          <w:rFonts w:hint="eastAsia" w:eastAsia="仿宋_GB2312"/>
          <w:sz w:val="32"/>
          <w:szCs w:val="32"/>
          <w:lang w:eastAsia="zh-CN"/>
        </w:rPr>
        <w:t>，向参加本届京港会的港资、港企、港商</w:t>
      </w:r>
      <w:r>
        <w:rPr>
          <w:rFonts w:hint="eastAsia" w:eastAsia="仿宋_GB2312"/>
          <w:sz w:val="32"/>
          <w:szCs w:val="32"/>
        </w:rPr>
        <w:t>推介朝阳区营商环境、产业政策、可利用楼宇空间</w:t>
      </w:r>
      <w:r>
        <w:rPr>
          <w:rFonts w:hint="eastAsia" w:eastAsia="仿宋_GB2312"/>
          <w:sz w:val="32"/>
          <w:szCs w:val="32"/>
          <w:lang w:eastAsia="zh-CN"/>
        </w:rPr>
        <w:t>，增进双方了解，获取项目线索。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spacing w:line="560" w:lineRule="exact"/>
        <w:ind w:firstLine="640" w:firstLineChars="200"/>
        <w:rPr>
          <w:rFonts w:ascii="楷体_GB2312" w:hAnsi="楷体_GB2312" w:eastAsia="楷体_GB2312" w:cs="楷体_GB2312"/>
          <w:sz w:val="32"/>
          <w:szCs w:val="32"/>
        </w:rPr>
      </w:pPr>
      <w:r>
        <w:rPr>
          <w:rFonts w:hint="eastAsia" w:eastAsia="仿宋_GB2312"/>
          <w:sz w:val="32"/>
          <w:szCs w:val="32"/>
        </w:rPr>
        <w:t>一是衡量项目目标达成程度，将项目实际完成情况与预定的目标，如项目的进度、质量、成本等进行对比，判断项目是否达到预期，确定项目的成功与否。二是监控项目进展，在项目实施过程中进行定期的绩效评价，及时发现项目执行过程中出现的问题。三是优化项目管理流程，通过对项目绩效的评价，总结项目管理过程中的经验教训，发现项目管理流程中存在的缺陷和不足，为未来项目提供参考，以优化项目管理流程，提高项目管理水平。绩效评价对象为2024年度招商引资及推介大型专项活动经费，范围为2024年项目支出所涉及项目。</w:t>
      </w:r>
    </w:p>
    <w:p>
      <w:pPr>
        <w:numPr>
          <w:ilvl w:val="0"/>
          <w:numId w:val="2"/>
        </w:num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绩效评价原则、评价指标体系、评价方法、评价标准等。</w:t>
      </w:r>
    </w:p>
    <w:p>
      <w:pPr>
        <w:spacing w:line="560" w:lineRule="exact"/>
        <w:ind w:firstLine="640" w:firstLineChars="200"/>
        <w:rPr>
          <w:rFonts w:eastAsia="仿宋_GB2312"/>
          <w:sz w:val="32"/>
          <w:szCs w:val="32"/>
        </w:rPr>
      </w:pPr>
      <w:r>
        <w:rPr>
          <w:rFonts w:hint="eastAsia" w:eastAsia="仿宋_GB2312"/>
          <w:sz w:val="32"/>
          <w:szCs w:val="32"/>
        </w:rPr>
        <w:t>目标导向原则，项目绩效评价以项目目标为基准，重点考量项目是否达成预定的产出目标、成果目标和影响目标等，确保评价紧紧围绕项目预期要实现的内容展开。效益性原则，重点关注项目的投入与产出关系，包括经济效益、社会效益、环境效益等多方面，判断项目的资源利用效率和效益实现程度。</w:t>
      </w:r>
    </w:p>
    <w:p>
      <w:pPr>
        <w:spacing w:line="560" w:lineRule="exact"/>
        <w:ind w:firstLine="640" w:firstLineChars="200"/>
        <w:rPr>
          <w:rFonts w:eastAsia="仿宋_GB2312"/>
          <w:sz w:val="32"/>
          <w:szCs w:val="32"/>
        </w:rPr>
      </w:pPr>
      <w:r>
        <w:rPr>
          <w:rFonts w:hint="eastAsia" w:eastAsia="仿宋_GB2312"/>
          <w:sz w:val="32"/>
          <w:szCs w:val="32"/>
        </w:rPr>
        <w:t>项目评级指标体系分为一级指标、二级指标、三级指标。一级指标包含</w:t>
      </w:r>
      <w:r>
        <w:rPr>
          <w:rFonts w:eastAsia="仿宋_GB2312"/>
          <w:sz w:val="32"/>
          <w:szCs w:val="32"/>
        </w:rPr>
        <w:t>产出指标</w:t>
      </w:r>
      <w:r>
        <w:rPr>
          <w:rFonts w:hint="eastAsia" w:eastAsia="仿宋_GB2312"/>
          <w:sz w:val="32"/>
          <w:szCs w:val="32"/>
        </w:rPr>
        <w:t>、成本指标、</w:t>
      </w:r>
      <w:r>
        <w:rPr>
          <w:rFonts w:eastAsia="仿宋_GB2312"/>
          <w:sz w:val="32"/>
          <w:szCs w:val="32"/>
        </w:rPr>
        <w:t>效益指标</w:t>
      </w:r>
      <w:r>
        <w:rPr>
          <w:rFonts w:hint="eastAsia" w:eastAsia="仿宋_GB2312"/>
          <w:sz w:val="32"/>
          <w:szCs w:val="32"/>
        </w:rPr>
        <w:t>、满意度指标；二级指标包含</w:t>
      </w:r>
      <w:r>
        <w:rPr>
          <w:rFonts w:eastAsia="仿宋_GB2312"/>
          <w:sz w:val="32"/>
          <w:szCs w:val="32"/>
        </w:rPr>
        <w:t>数量指标</w:t>
      </w:r>
      <w:r>
        <w:rPr>
          <w:rFonts w:hint="eastAsia" w:eastAsia="仿宋_GB2312"/>
          <w:sz w:val="32"/>
          <w:szCs w:val="32"/>
        </w:rPr>
        <w:t>、</w:t>
      </w:r>
      <w:r>
        <w:rPr>
          <w:rFonts w:eastAsia="仿宋_GB2312"/>
          <w:sz w:val="32"/>
          <w:szCs w:val="32"/>
        </w:rPr>
        <w:t>质量指标</w:t>
      </w:r>
      <w:r>
        <w:rPr>
          <w:rFonts w:hint="eastAsia" w:eastAsia="仿宋_GB2312"/>
          <w:sz w:val="32"/>
          <w:szCs w:val="32"/>
        </w:rPr>
        <w:t>、</w:t>
      </w:r>
      <w:r>
        <w:rPr>
          <w:rFonts w:eastAsia="仿宋_GB2312"/>
          <w:sz w:val="32"/>
          <w:szCs w:val="32"/>
        </w:rPr>
        <w:t>时效指标</w:t>
      </w:r>
      <w:r>
        <w:rPr>
          <w:rFonts w:hint="eastAsia" w:eastAsia="仿宋_GB2312"/>
          <w:sz w:val="32"/>
          <w:szCs w:val="32"/>
        </w:rPr>
        <w:t>、经济成本指标、社会效益指标、</w:t>
      </w:r>
      <w:r>
        <w:rPr>
          <w:rFonts w:eastAsia="仿宋_GB2312"/>
          <w:sz w:val="32"/>
          <w:szCs w:val="32"/>
        </w:rPr>
        <w:t>服务对象满意度指标</w:t>
      </w:r>
      <w:r>
        <w:rPr>
          <w:rFonts w:hint="eastAsia" w:eastAsia="仿宋_GB2312"/>
          <w:sz w:val="32"/>
          <w:szCs w:val="32"/>
        </w:rPr>
        <w:t>；三级指标包含举办或参与宣传活动次数、举办或参与宣传活动的质量、活动按时举办、按预算合理支配使用、参与活动的影响力、举办或参与活动的满意度。</w:t>
      </w:r>
    </w:p>
    <w:tbl>
      <w:tblPr>
        <w:tblStyle w:val="6"/>
        <w:tblW w:w="8876" w:type="dxa"/>
        <w:tblInd w:w="96" w:type="dxa"/>
        <w:tblLayout w:type="fixed"/>
        <w:tblCellMar>
          <w:top w:w="0" w:type="dxa"/>
          <w:left w:w="108" w:type="dxa"/>
          <w:bottom w:w="0" w:type="dxa"/>
          <w:right w:w="108" w:type="dxa"/>
        </w:tblCellMar>
      </w:tblPr>
      <w:tblGrid>
        <w:gridCol w:w="1009"/>
        <w:gridCol w:w="1928"/>
        <w:gridCol w:w="2399"/>
        <w:gridCol w:w="3540"/>
      </w:tblGrid>
      <w:tr>
        <w:tblPrEx>
          <w:tblLayout w:type="fixed"/>
          <w:tblCellMar>
            <w:top w:w="0" w:type="dxa"/>
            <w:left w:w="108" w:type="dxa"/>
            <w:bottom w:w="0" w:type="dxa"/>
            <w:right w:w="108" w:type="dxa"/>
          </w:tblCellMar>
        </w:tblPrEx>
        <w:trPr>
          <w:trHeight w:val="870" w:hRule="atLeast"/>
        </w:trPr>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效</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指</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标</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一级指标</w:t>
            </w: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二级指标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产出指标</w:t>
            </w: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数量指标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举办或参与宣传活动次数</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质量指标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举办或参与宣传活动的质量</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时效指标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活动按时举办</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成本指标</w:t>
            </w: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经济成本指标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按预算合理支配使用</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ascii="宋体" w:hAnsi="宋体" w:cs="宋体"/>
                <w:b/>
                <w:bCs/>
                <w:color w:val="000000"/>
                <w:sz w:val="18"/>
                <w:szCs w:val="18"/>
              </w:rPr>
            </w:pPr>
          </w:p>
        </w:tc>
        <w:tc>
          <w:tcPr>
            <w:tcW w:w="1928"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效益指标</w:t>
            </w:r>
          </w:p>
        </w:tc>
        <w:tc>
          <w:tcPr>
            <w:tcW w:w="2399"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社会效益指标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参与活动的影响力</w:t>
            </w:r>
          </w:p>
        </w:tc>
      </w:tr>
      <w:tr>
        <w:tblPrEx>
          <w:tblLayout w:type="fixed"/>
          <w:tblCellMar>
            <w:top w:w="0" w:type="dxa"/>
            <w:left w:w="108" w:type="dxa"/>
            <w:bottom w:w="0" w:type="dxa"/>
            <w:right w:w="108" w:type="dxa"/>
          </w:tblCellMar>
        </w:tblPrEx>
        <w:trPr>
          <w:trHeight w:val="640" w:hRule="atLeast"/>
        </w:trPr>
        <w:tc>
          <w:tcPr>
            <w:tcW w:w="100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1928"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Style w:val="10"/>
                <w:rFonts w:hint="default"/>
              </w:rPr>
              <w:t>满意度</w:t>
            </w:r>
            <w:r>
              <w:rPr>
                <w:rStyle w:val="11"/>
              </w:rPr>
              <w:br w:type="textWrapping"/>
            </w:r>
            <w:r>
              <w:rPr>
                <w:rStyle w:val="10"/>
                <w:rFonts w:hint="default"/>
              </w:rPr>
              <w:t>指标</w:t>
            </w:r>
          </w:p>
        </w:tc>
        <w:tc>
          <w:tcPr>
            <w:tcW w:w="2399"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服务对象满意度指标</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举办或参与活动的满意度</w:t>
            </w:r>
          </w:p>
        </w:tc>
      </w:tr>
    </w:tbl>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spacing w:line="560" w:lineRule="exact"/>
        <w:ind w:firstLine="640" w:firstLineChars="200"/>
        <w:rPr>
          <w:rFonts w:hint="default" w:eastAsia="仿宋_GB2312"/>
          <w:sz w:val="32"/>
          <w:szCs w:val="32"/>
        </w:rPr>
      </w:pPr>
      <w:r>
        <w:rPr>
          <w:rFonts w:hint="default" w:eastAsia="仿宋_GB2312"/>
          <w:sz w:val="32"/>
          <w:szCs w:val="32"/>
        </w:rPr>
        <w:t>项目经2024年第10次主任办公会、第13次党组会议定同意开展服务供应商选定工作，于2024年第11次主任办公会，2024年第14次党组会确定【开展北京·香港合作研讨洽谈会专题推介活动】项目服务单位。</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w:t>
      </w:r>
    </w:p>
    <w:p>
      <w:pPr>
        <w:jc w:val="center"/>
        <w:rPr>
          <w:rStyle w:val="10"/>
          <w:rFonts w:hint="default"/>
          <w:sz w:val="32"/>
          <w:szCs w:val="32"/>
        </w:rPr>
      </w:pPr>
      <w:r>
        <w:rPr>
          <w:rStyle w:val="10"/>
          <w:sz w:val="32"/>
          <w:szCs w:val="32"/>
        </w:rPr>
        <w:t>项目支出绩效表</w:t>
      </w:r>
    </w:p>
    <w:tbl>
      <w:tblPr>
        <w:tblStyle w:val="6"/>
        <w:tblW w:w="8895" w:type="dxa"/>
        <w:tblInd w:w="96" w:type="dxa"/>
        <w:tblLayout w:type="fixed"/>
        <w:tblCellMar>
          <w:top w:w="0" w:type="dxa"/>
          <w:left w:w="108" w:type="dxa"/>
          <w:bottom w:w="0" w:type="dxa"/>
          <w:right w:w="108" w:type="dxa"/>
        </w:tblCellMar>
      </w:tblPr>
      <w:tblGrid>
        <w:gridCol w:w="459"/>
        <w:gridCol w:w="877"/>
        <w:gridCol w:w="1091"/>
        <w:gridCol w:w="863"/>
        <w:gridCol w:w="971"/>
        <w:gridCol w:w="176"/>
        <w:gridCol w:w="875"/>
        <w:gridCol w:w="1052"/>
        <w:gridCol w:w="243"/>
        <w:gridCol w:w="432"/>
        <w:gridCol w:w="716"/>
        <w:gridCol w:w="1140"/>
      </w:tblGrid>
      <w:tr>
        <w:tblPrEx>
          <w:tblLayout w:type="fixed"/>
          <w:tblCellMar>
            <w:top w:w="0" w:type="dxa"/>
            <w:left w:w="108" w:type="dxa"/>
            <w:bottom w:w="0" w:type="dxa"/>
            <w:right w:w="108" w:type="dxa"/>
          </w:tblCellMar>
        </w:tblPrEx>
        <w:trPr>
          <w:trHeight w:val="460" w:hRule="atLeast"/>
        </w:trPr>
        <w:tc>
          <w:tcPr>
            <w:tcW w:w="133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Style w:val="10"/>
                <w:rFonts w:hint="default"/>
              </w:rPr>
              <w:t>项目资金</w:t>
            </w:r>
            <w:r>
              <w:rPr>
                <w:rStyle w:val="11"/>
              </w:rPr>
              <w:br w:type="textWrapping"/>
            </w:r>
            <w:r>
              <w:rPr>
                <w:rStyle w:val="10"/>
                <w:rFonts w:hint="default"/>
              </w:rPr>
              <w:t>（万元）</w:t>
            </w:r>
          </w:p>
        </w:tc>
        <w:tc>
          <w:tcPr>
            <w:tcW w:w="1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年初预算数</w:t>
            </w:r>
          </w:p>
        </w:tc>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全年预算数</w:t>
            </w:r>
          </w:p>
        </w:tc>
        <w:tc>
          <w:tcPr>
            <w:tcW w:w="1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全年执行数</w:t>
            </w:r>
          </w:p>
        </w:tc>
        <w:tc>
          <w:tcPr>
            <w:tcW w:w="43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执行率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得分</w:t>
            </w:r>
          </w:p>
        </w:tc>
      </w:tr>
      <w:tr>
        <w:tblPrEx>
          <w:tblLayout w:type="fixed"/>
          <w:tblCellMar>
            <w:top w:w="0" w:type="dxa"/>
            <w:left w:w="108" w:type="dxa"/>
            <w:bottom w:w="0" w:type="dxa"/>
            <w:right w:w="108" w:type="dxa"/>
          </w:tblCellMar>
        </w:tblPrEx>
        <w:trPr>
          <w:trHeight w:val="460" w:hRule="atLeast"/>
        </w:trPr>
        <w:tc>
          <w:tcPr>
            <w:tcW w:w="13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b/>
                <w:bCs/>
                <w:color w:val="000000"/>
                <w:sz w:val="18"/>
                <w:szCs w:val="18"/>
              </w:rPr>
            </w:pPr>
            <w:r>
              <w:rPr>
                <w:b/>
                <w:bCs/>
                <w:color w:val="000000"/>
                <w:kern w:val="0"/>
                <w:sz w:val="18"/>
                <w:szCs w:val="18"/>
              </w:rPr>
              <w:t>年度资金总额</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1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43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w:t>
            </w:r>
          </w:p>
        </w:tc>
      </w:tr>
      <w:tr>
        <w:tblPrEx>
          <w:tblLayout w:type="fixed"/>
          <w:tblCellMar>
            <w:top w:w="0" w:type="dxa"/>
            <w:left w:w="108" w:type="dxa"/>
            <w:bottom w:w="0" w:type="dxa"/>
            <w:right w:w="108" w:type="dxa"/>
          </w:tblCellMar>
        </w:tblPrEx>
        <w:trPr>
          <w:trHeight w:val="460" w:hRule="atLeast"/>
        </w:trPr>
        <w:tc>
          <w:tcPr>
            <w:tcW w:w="13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其中：当年财政拨款</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1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color w:val="000000"/>
                <w:kern w:val="0"/>
                <w:sz w:val="18"/>
                <w:szCs w:val="18"/>
              </w:rPr>
              <w:t>90</w:t>
            </w:r>
          </w:p>
        </w:tc>
        <w:tc>
          <w:tcPr>
            <w:tcW w:w="43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r>
      <w:tr>
        <w:tblPrEx>
          <w:tblLayout w:type="fixed"/>
          <w:tblCellMar>
            <w:top w:w="0" w:type="dxa"/>
            <w:left w:w="108" w:type="dxa"/>
            <w:bottom w:w="0" w:type="dxa"/>
            <w:right w:w="108" w:type="dxa"/>
          </w:tblCellMar>
        </w:tblPrEx>
        <w:trPr>
          <w:trHeight w:val="460" w:hRule="atLeast"/>
        </w:trPr>
        <w:tc>
          <w:tcPr>
            <w:tcW w:w="13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 xml:space="preserve">     上年结转资金</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1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43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r>
      <w:tr>
        <w:tblPrEx>
          <w:tblLayout w:type="fixed"/>
          <w:tblCellMar>
            <w:top w:w="0" w:type="dxa"/>
            <w:left w:w="108" w:type="dxa"/>
            <w:bottom w:w="0" w:type="dxa"/>
            <w:right w:w="108" w:type="dxa"/>
          </w:tblCellMar>
        </w:tblPrEx>
        <w:trPr>
          <w:trHeight w:val="460" w:hRule="atLeast"/>
        </w:trPr>
        <w:tc>
          <w:tcPr>
            <w:tcW w:w="133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19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 xml:space="preserve">  其他资金</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1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p>
        </w:tc>
        <w:tc>
          <w:tcPr>
            <w:tcW w:w="43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w:t>
            </w:r>
          </w:p>
        </w:tc>
      </w:tr>
      <w:tr>
        <w:tblPrEx>
          <w:tblLayout w:type="fixed"/>
        </w:tblPrEx>
        <w:trPr>
          <w:trHeight w:val="870" w:hRule="atLeast"/>
        </w:trPr>
        <w:tc>
          <w:tcPr>
            <w:tcW w:w="4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效</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指</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标</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一级指标</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二级指标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指标值</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实际</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完成值</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分值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偏差原因分析及改进措施</w:t>
            </w:r>
          </w:p>
        </w:tc>
      </w:tr>
      <w:tr>
        <w:tblPrEx>
          <w:tblLayout w:type="fixed"/>
          <w:tblCellMar>
            <w:top w:w="0" w:type="dxa"/>
            <w:left w:w="108" w:type="dxa"/>
            <w:bottom w:w="0" w:type="dxa"/>
            <w:right w:w="108" w:type="dxa"/>
          </w:tblCellMar>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产出指标</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数量指标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举办或参与宣传活动次数</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≥1次/年</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rStyle w:val="12"/>
              </w:rPr>
              <w:t>1</w:t>
            </w:r>
            <w:r>
              <w:rPr>
                <w:rStyle w:val="13"/>
                <w:rFonts w:hint="default"/>
              </w:rPr>
              <w:t>次</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35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CellMar>
            <w:top w:w="0" w:type="dxa"/>
            <w:left w:w="108" w:type="dxa"/>
            <w:bottom w:w="0" w:type="dxa"/>
            <w:right w:w="108" w:type="dxa"/>
          </w:tblCellMar>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质量指标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举办或参与宣传活动的质量</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CellMar>
            <w:top w:w="0" w:type="dxa"/>
            <w:left w:w="108" w:type="dxa"/>
            <w:bottom w:w="0" w:type="dxa"/>
            <w:right w:w="108" w:type="dxa"/>
          </w:tblCellMar>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color w:val="000000"/>
                <w:sz w:val="18"/>
                <w:szCs w:val="18"/>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时效指标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活动按时举办</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CellMar>
            <w:top w:w="0" w:type="dxa"/>
            <w:left w:w="108" w:type="dxa"/>
            <w:bottom w:w="0" w:type="dxa"/>
            <w:right w:w="108" w:type="dxa"/>
          </w:tblCellMar>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成本指标</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经济成本指标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按预算合理支配使用</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rStyle w:val="12"/>
              </w:rPr>
              <w:t>≤90</w:t>
            </w:r>
            <w:r>
              <w:rPr>
                <w:rStyle w:val="13"/>
                <w:rFonts w:hint="default"/>
              </w:rPr>
              <w:t>万元</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18"/>
                <w:szCs w:val="18"/>
              </w:rPr>
            </w:pPr>
            <w:r>
              <w:rPr>
                <w:rStyle w:val="12"/>
              </w:rPr>
              <w:t>90</w:t>
            </w:r>
            <w:r>
              <w:rPr>
                <w:rStyle w:val="13"/>
                <w:rFonts w:hint="default"/>
              </w:rPr>
              <w:t>万元</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CellMar>
            <w:top w:w="0" w:type="dxa"/>
            <w:left w:w="108" w:type="dxa"/>
            <w:bottom w:w="0" w:type="dxa"/>
            <w:right w:w="108" w:type="dxa"/>
          </w:tblCellMar>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效益指标</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社会效益指标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参与活动的影响力</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30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PrEx>
        <w:trPr>
          <w:trHeight w:val="640" w:hRule="atLeast"/>
        </w:trPr>
        <w:tc>
          <w:tcPr>
            <w:tcW w:w="4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000000"/>
                <w:sz w:val="18"/>
                <w:szCs w:val="18"/>
              </w:rPr>
            </w:pPr>
            <w:r>
              <w:rPr>
                <w:rStyle w:val="10"/>
                <w:rFonts w:hint="default"/>
              </w:rPr>
              <w:t>满意度</w:t>
            </w:r>
            <w:r>
              <w:rPr>
                <w:rStyle w:val="11"/>
              </w:rPr>
              <w:br w:type="textWrapping"/>
            </w:r>
            <w:r>
              <w:rPr>
                <w:rStyle w:val="10"/>
                <w:rFonts w:hint="default"/>
              </w:rPr>
              <w:t>指标</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服务对象满意度指标</w:t>
            </w:r>
          </w:p>
        </w:tc>
        <w:tc>
          <w:tcPr>
            <w:tcW w:w="2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举办或参与活动的满意度</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p>
        </w:tc>
      </w:tr>
      <w:tr>
        <w:tblPrEx>
          <w:tblLayout w:type="fixed"/>
          <w:tblCellMar>
            <w:top w:w="0" w:type="dxa"/>
            <w:left w:w="108" w:type="dxa"/>
            <w:bottom w:w="0" w:type="dxa"/>
            <w:right w:w="108" w:type="dxa"/>
          </w:tblCellMar>
        </w:tblPrEx>
        <w:trPr>
          <w:trHeight w:val="495" w:hRule="atLeast"/>
        </w:trPr>
        <w:tc>
          <w:tcPr>
            <w:tcW w:w="6364"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总分</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bCs/>
                <w:color w:val="000000"/>
                <w:sz w:val="18"/>
                <w:szCs w:val="18"/>
              </w:rPr>
            </w:pPr>
            <w:r>
              <w:rPr>
                <w:b/>
                <w:bCs/>
                <w:color w:val="000000"/>
                <w:kern w:val="0"/>
                <w:sz w:val="18"/>
                <w:szCs w:val="18"/>
              </w:rPr>
              <w:t>100</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18"/>
                <w:szCs w:val="18"/>
              </w:rPr>
            </w:pPr>
            <w:r>
              <w:rPr>
                <w:color w:val="000000"/>
                <w:kern w:val="0"/>
                <w:sz w:val="18"/>
                <w:szCs w:val="18"/>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bl>
    <w:p>
      <w:pPr>
        <w:spacing w:line="560" w:lineRule="exact"/>
        <w:ind w:firstLine="640" w:firstLineChars="200"/>
        <w:rPr>
          <w:rFonts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根据举办活动的特点与需求，列出服务供应商应具备的能力和水平。本着“节约、高效”的原则，</w:t>
      </w:r>
      <w:r>
        <w:rPr>
          <w:rFonts w:eastAsia="仿宋_GB2312"/>
          <w:sz w:val="32"/>
          <w:szCs w:val="32"/>
        </w:rPr>
        <w:t>根据</w:t>
      </w:r>
      <w:r>
        <w:rPr>
          <w:rFonts w:hint="eastAsia" w:eastAsia="仿宋_GB2312"/>
          <w:sz w:val="32"/>
          <w:szCs w:val="32"/>
        </w:rPr>
        <w:t>年初预算，</w:t>
      </w:r>
      <w:r>
        <w:rPr>
          <w:rFonts w:eastAsia="仿宋_GB2312"/>
          <w:sz w:val="32"/>
          <w:szCs w:val="32"/>
        </w:rPr>
        <w:t>对</w:t>
      </w:r>
      <w:r>
        <w:rPr>
          <w:rFonts w:hint="eastAsia" w:eastAsia="仿宋_GB2312"/>
          <w:sz w:val="32"/>
          <w:szCs w:val="32"/>
        </w:rPr>
        <w:t>本届京港会专题推介活动所需费用进</w:t>
      </w:r>
      <w:r>
        <w:rPr>
          <w:rFonts w:eastAsia="仿宋_GB2312"/>
          <w:sz w:val="32"/>
          <w:szCs w:val="32"/>
        </w:rPr>
        <w:t>行</w:t>
      </w:r>
      <w:r>
        <w:rPr>
          <w:rFonts w:hint="eastAsia" w:eastAsia="仿宋_GB2312"/>
          <w:sz w:val="32"/>
          <w:szCs w:val="32"/>
        </w:rPr>
        <w:t>了</w:t>
      </w:r>
      <w:r>
        <w:rPr>
          <w:rFonts w:eastAsia="仿宋_GB2312"/>
          <w:sz w:val="32"/>
          <w:szCs w:val="32"/>
        </w:rPr>
        <w:t>测算</w:t>
      </w:r>
      <w:r>
        <w:rPr>
          <w:rFonts w:hint="eastAsia" w:ascii="仿宋_GB2312" w:hAnsi="宋体" w:eastAsia="仿宋_GB2312"/>
          <w:sz w:val="32"/>
          <w:szCs w:val="32"/>
        </w:rPr>
        <w:t>。并根据</w:t>
      </w:r>
      <w:r>
        <w:rPr>
          <w:rFonts w:hint="eastAsia" w:ascii="仿宋_GB2312" w:hAnsi="宋体" w:eastAsia="仿宋_GB2312"/>
          <w:sz w:val="32"/>
          <w:szCs w:val="32"/>
          <w:lang w:eastAsia="zh-CN"/>
        </w:rPr>
        <w:t>投促</w:t>
      </w:r>
      <w:r>
        <w:rPr>
          <w:rFonts w:hint="eastAsia" w:ascii="仿宋_GB2312" w:hAnsi="宋体" w:eastAsia="仿宋_GB2312"/>
          <w:sz w:val="32"/>
          <w:szCs w:val="32"/>
        </w:rPr>
        <w:t>中心相关规定</w:t>
      </w:r>
      <w:r>
        <w:rPr>
          <w:rFonts w:hint="eastAsia" w:ascii="仿宋_GB2312" w:eastAsia="仿宋_GB2312"/>
          <w:sz w:val="32"/>
          <w:szCs w:val="32"/>
        </w:rPr>
        <w:t>采用比选采购方式，选择服务供应商，</w:t>
      </w:r>
      <w:r>
        <w:rPr>
          <w:rStyle w:val="9"/>
          <w:rFonts w:hint="eastAsia" w:eastAsia="仿宋_GB2312" w:cs="仿宋_GB2312"/>
          <w:color w:val="000000"/>
          <w:sz w:val="32"/>
          <w:szCs w:val="32"/>
        </w:rPr>
        <w:t>高标准、高效率、高质量办好本次朝阳区专题推介会。</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 xml:space="preserve">制定了《第二十七届京港洽谈会 </w:t>
      </w:r>
      <w:bookmarkStart w:id="0" w:name="_Hlk176440903"/>
      <w:r>
        <w:rPr>
          <w:rFonts w:hint="eastAsia" w:ascii="仿宋_GB2312" w:hAnsi="宋体" w:eastAsia="仿宋_GB2312"/>
          <w:sz w:val="32"/>
          <w:szCs w:val="32"/>
        </w:rPr>
        <w:t>“商务+科技”</w:t>
      </w:r>
      <w:bookmarkEnd w:id="0"/>
      <w:r>
        <w:rPr>
          <w:rFonts w:hint="eastAsia" w:ascii="仿宋_GB2312" w:hAnsi="宋体" w:eastAsia="仿宋_GB2312"/>
          <w:sz w:val="32"/>
          <w:szCs w:val="32"/>
        </w:rPr>
        <w:t>赋能朝阳高质量发展——朝阳区专场推介活动实施方案》，明确了组织架构、活动亮点、活动议程。细化了圆桌对话方案、新闻宣传方案等；制定了《北京·香港合作研讨洽谈会“商务+科技”赋能朝阳高质量发展专题推介活动实施及分工方案》，明确了工作目标、工作组组成、工作组任务以及工作要求。</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项目产出与效益情况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46"/>
        <w:jc w:val="both"/>
        <w:textAlignment w:val="auto"/>
        <w:rPr>
          <w:rFonts w:eastAsia="仿宋_GB2312"/>
          <w:sz w:val="32"/>
          <w:szCs w:val="32"/>
        </w:rPr>
      </w:pPr>
      <w:r>
        <w:rPr>
          <w:rFonts w:hint="eastAsia" w:ascii="仿宋_GB2312" w:hAnsi="宋体" w:eastAsia="仿宋_GB2312"/>
          <w:sz w:val="32"/>
          <w:szCs w:val="32"/>
        </w:rPr>
        <w:t>第二十七届京港洽谈会</w:t>
      </w:r>
      <w:r>
        <w:rPr>
          <w:rFonts w:hint="eastAsia" w:eastAsia="仿宋_GB2312"/>
          <w:bCs/>
          <w:spacing w:val="6"/>
          <w:sz w:val="32"/>
          <w:szCs w:val="32"/>
        </w:rPr>
        <w:t>“与世界 共朝阳”专场推介会</w:t>
      </w:r>
      <w:r>
        <w:rPr>
          <w:rFonts w:hint="eastAsia" w:eastAsia="仿宋_GB2312"/>
          <w:bCs/>
          <w:spacing w:val="6"/>
          <w:sz w:val="32"/>
          <w:szCs w:val="32"/>
          <w:lang w:eastAsia="zh-CN"/>
        </w:rPr>
        <w:t>成功举办</w:t>
      </w:r>
      <w:r>
        <w:rPr>
          <w:rFonts w:hint="eastAsia" w:ascii="仿宋_GB2312" w:hAnsi="宋体" w:eastAsia="仿宋_GB2312"/>
          <w:sz w:val="32"/>
          <w:szCs w:val="32"/>
        </w:rPr>
        <w:t>。</w:t>
      </w:r>
      <w:r>
        <w:rPr>
          <w:rFonts w:eastAsia="仿宋_GB2312"/>
          <w:sz w:val="32"/>
          <w:szCs w:val="32"/>
        </w:rPr>
        <w:t>在专题推介环节，围绕朝阳区区情及投资机遇</w:t>
      </w:r>
      <w:r>
        <w:rPr>
          <w:rFonts w:hint="eastAsia" w:eastAsia="仿宋_GB2312"/>
          <w:sz w:val="32"/>
          <w:szCs w:val="32"/>
        </w:rPr>
        <w:t>、</w:t>
      </w:r>
      <w:r>
        <w:rPr>
          <w:rFonts w:eastAsia="仿宋_GB2312"/>
          <w:sz w:val="32"/>
          <w:szCs w:val="32"/>
        </w:rPr>
        <w:t>最新产业政策</w:t>
      </w:r>
      <w:r>
        <w:rPr>
          <w:rFonts w:hint="eastAsia" w:eastAsia="仿宋_GB2312"/>
          <w:sz w:val="32"/>
          <w:szCs w:val="32"/>
        </w:rPr>
        <w:t>、</w:t>
      </w:r>
      <w:r>
        <w:rPr>
          <w:rFonts w:eastAsia="仿宋_GB2312"/>
          <w:sz w:val="32"/>
          <w:szCs w:val="32"/>
        </w:rPr>
        <w:t>朝阳区重点承载空间进行了推介。</w:t>
      </w:r>
      <w:r>
        <w:rPr>
          <w:rFonts w:hint="eastAsia" w:eastAsia="仿宋_GB2312"/>
          <w:sz w:val="32"/>
          <w:szCs w:val="32"/>
          <w:lang w:eastAsia="zh-CN"/>
        </w:rPr>
        <w:t>在圆桌对话环节，</w:t>
      </w:r>
      <w:r>
        <w:rPr>
          <w:rFonts w:eastAsia="仿宋_GB2312"/>
          <w:sz w:val="32"/>
          <w:szCs w:val="32"/>
        </w:rPr>
        <w:t>围绕朝阳区与香港两地的资源禀赋与合作机遇进行交流，探讨优势互补、共创繁荣的新路径。</w:t>
      </w:r>
      <w:r>
        <w:rPr>
          <w:rFonts w:hint="eastAsia" w:eastAsia="仿宋_GB2312"/>
          <w:sz w:val="32"/>
          <w:szCs w:val="32"/>
          <w:lang w:eastAsia="zh-CN"/>
        </w:rPr>
        <w:t>在成果发布环节，</w:t>
      </w:r>
      <w:r>
        <w:rPr>
          <w:rFonts w:eastAsia="仿宋_GB2312"/>
          <w:sz w:val="32"/>
          <w:szCs w:val="32"/>
        </w:rPr>
        <w:t>从外商投资趋势出发，对北京市和朝阳区近年来外资利用数据以及香港企业投资记录进行整理分析，从吸引力、影响力和联通力三个维度分析朝阳区作为北京市国际交往功能重要承载区域的独特国际化优势，并通过企业视角，从市场潜力、产业集聚、产业载体、支持政策以及运营效率等方面展现朝阳区的产业发展环境。深度剖析外商投资新趋势，解读朝阳区投资环境，挖掘朝阳区与香港之间的合作路径，为两地企业把握合作机遇、实现共赢发展提供指引。</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hint="eastAsia" w:eastAsia="仿宋_GB2312"/>
          <w:sz w:val="32"/>
          <w:szCs w:val="32"/>
        </w:rPr>
      </w:pPr>
      <w:r>
        <w:rPr>
          <w:rFonts w:hint="eastAsia" w:ascii="Times New Roman" w:hAnsi="Times New Roman" w:eastAsia="仿宋_GB2312" w:cs="Times New Roman"/>
          <w:sz w:val="32"/>
          <w:szCs w:val="32"/>
        </w:rPr>
        <w:t>活动发挥京港洽谈会的平台作用，邀请两地百余家优秀企业、机构及商协会开展全方位、宽领域、多角度的专题推介，深度聚焦“商务+科技”两大核心领域，充分展现朝阳区在发展新质生产力、打造国际化营商环境、促消费和“两区”建设等方面的优势</w:t>
      </w:r>
      <w:r>
        <w:rPr>
          <w:rFonts w:hint="eastAsia" w:ascii="Times New Roman" w:hAnsi="Times New Roman" w:eastAsia="仿宋_GB2312" w:cs="Times New Roman"/>
          <w:sz w:val="32"/>
          <w:szCs w:val="32"/>
          <w:lang w:eastAsia="zh-CN"/>
        </w:rPr>
        <w:t>，促进了朝阳区经济高质量发展和项目落地。</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五、主要经验及做法</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outlineLvl w:val="0"/>
        <w:rPr>
          <w:rFonts w:hint="eastAsia" w:eastAsia="仿宋_GB2312"/>
          <w:color w:val="0000FF"/>
          <w:sz w:val="32"/>
          <w:szCs w:val="32"/>
          <w:lang w:val="en-US" w:eastAsia="zh-CN"/>
        </w:rPr>
      </w:pPr>
      <w:r>
        <w:rPr>
          <w:rFonts w:hint="eastAsia" w:eastAsia="仿宋_GB2312"/>
          <w:sz w:val="32"/>
          <w:szCs w:val="32"/>
        </w:rPr>
        <w:t>一是提早规划。大型投资促进推介活动每年举办时间相对固定，活动举办前会正式下达活动整体方案</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二是</w:t>
      </w:r>
      <w:r>
        <w:rPr>
          <w:rFonts w:hint="eastAsia" w:eastAsia="仿宋_GB2312" w:cs="Times New Roman"/>
          <w:sz w:val="32"/>
          <w:szCs w:val="32"/>
          <w:lang w:eastAsia="zh-CN"/>
        </w:rPr>
        <w:t>统筹协调</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相关领导及部门统筹协调，各项筹备工作有序进行。</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六、有关建议</w:t>
      </w:r>
    </w:p>
    <w:p>
      <w:pPr>
        <w:spacing w:line="560" w:lineRule="exact"/>
        <w:ind w:firstLine="640" w:firstLineChars="200"/>
        <w:outlineLvl w:val="0"/>
        <w:rPr>
          <w:rFonts w:eastAsia="仿宋_GB2312"/>
          <w:sz w:val="32"/>
          <w:szCs w:val="32"/>
        </w:rPr>
      </w:pPr>
      <w:r>
        <w:rPr>
          <w:rFonts w:hint="eastAsia" w:eastAsia="仿宋_GB2312"/>
          <w:sz w:val="32"/>
          <w:szCs w:val="32"/>
        </w:rPr>
        <w:t>（无）</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七、其他需要说明的问题</w:t>
      </w:r>
    </w:p>
    <w:p>
      <w:pPr>
        <w:spacing w:line="560" w:lineRule="exact"/>
        <w:ind w:firstLine="640" w:firstLineChars="200"/>
        <w:outlineLvl w:val="0"/>
        <w:rPr>
          <w:rFonts w:eastAsia="仿宋_GB2312"/>
          <w:sz w:val="32"/>
          <w:szCs w:val="32"/>
        </w:rPr>
      </w:pPr>
      <w:r>
        <w:rPr>
          <w:rFonts w:hint="eastAsia" w:eastAsia="仿宋_GB2312"/>
          <w:sz w:val="32"/>
          <w:szCs w:val="32"/>
        </w:rPr>
        <w:t>（无）</w:t>
      </w:r>
    </w:p>
    <w:p>
      <w:pPr>
        <w:spacing w:line="600" w:lineRule="exact"/>
        <w:ind w:firstLine="640" w:firstLineChars="200"/>
        <w:rPr>
          <w:rFonts w:ascii="黑体" w:hAnsi="黑体" w:eastAsia="黑体" w:cs="黑体"/>
          <w:sz w:val="32"/>
          <w:szCs w:val="32"/>
        </w:rPr>
      </w:pPr>
    </w:p>
    <w:p>
      <w:pPr>
        <w:numPr>
          <w:ilvl w:val="0"/>
          <w:numId w:val="0"/>
        </w:numPr>
        <w:spacing w:line="600" w:lineRule="exact"/>
        <w:rPr>
          <w:rFonts w:eastAsia="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43188F"/>
    <w:multiLevelType w:val="singleLevel"/>
    <w:tmpl w:val="DA43188F"/>
    <w:lvl w:ilvl="0" w:tentative="0">
      <w:start w:val="1"/>
      <w:numFmt w:val="decimal"/>
      <w:suff w:val="nothing"/>
      <w:lvlText w:val="%1、"/>
      <w:lvlJc w:val="left"/>
    </w:lvl>
  </w:abstractNum>
  <w:abstractNum w:abstractNumId="1">
    <w:nsid w:val="E98171DD"/>
    <w:multiLevelType w:val="singleLevel"/>
    <w:tmpl w:val="E98171DD"/>
    <w:lvl w:ilvl="0" w:tentative="0">
      <w:start w:val="1"/>
      <w:numFmt w:val="chineseCounting"/>
      <w:suff w:val="nothing"/>
      <w:lvlText w:val="（%1）"/>
      <w:lvlJc w:val="left"/>
      <w:rPr>
        <w:rFonts w:hint="eastAsia"/>
      </w:rPr>
    </w:lvl>
  </w:abstractNum>
  <w:abstractNum w:abstractNumId="2">
    <w:nsid w:val="67886A0B"/>
    <w:multiLevelType w:val="singleLevel"/>
    <w:tmpl w:val="67886A0B"/>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TVjZTEzODczNmE1NmRmMjAwMjJjZDRjODc0NTMifQ=="/>
  </w:docVars>
  <w:rsids>
    <w:rsidRoot w:val="F77F09F4"/>
    <w:rsid w:val="000A66F7"/>
    <w:rsid w:val="000F15E6"/>
    <w:rsid w:val="00363422"/>
    <w:rsid w:val="007F249E"/>
    <w:rsid w:val="00B14119"/>
    <w:rsid w:val="00B86865"/>
    <w:rsid w:val="00BB3BDA"/>
    <w:rsid w:val="00E21960"/>
    <w:rsid w:val="00F84B2A"/>
    <w:rsid w:val="056B1570"/>
    <w:rsid w:val="06381AF5"/>
    <w:rsid w:val="067F1777"/>
    <w:rsid w:val="083E51F8"/>
    <w:rsid w:val="0A876E4C"/>
    <w:rsid w:val="0A8A585C"/>
    <w:rsid w:val="0B584F2C"/>
    <w:rsid w:val="0EBB3639"/>
    <w:rsid w:val="15597637"/>
    <w:rsid w:val="17F25FE3"/>
    <w:rsid w:val="183723CF"/>
    <w:rsid w:val="19D24E9B"/>
    <w:rsid w:val="1A9A0E83"/>
    <w:rsid w:val="1FA31EA6"/>
    <w:rsid w:val="23164552"/>
    <w:rsid w:val="240837EE"/>
    <w:rsid w:val="24E15127"/>
    <w:rsid w:val="25FF0A71"/>
    <w:rsid w:val="31AF3171"/>
    <w:rsid w:val="31CA749A"/>
    <w:rsid w:val="37173543"/>
    <w:rsid w:val="39F1303F"/>
    <w:rsid w:val="3AD4138A"/>
    <w:rsid w:val="3C642299"/>
    <w:rsid w:val="3FF76880"/>
    <w:rsid w:val="42E83C13"/>
    <w:rsid w:val="43355A2B"/>
    <w:rsid w:val="43744EF9"/>
    <w:rsid w:val="437D25BE"/>
    <w:rsid w:val="45B933A3"/>
    <w:rsid w:val="4EF71699"/>
    <w:rsid w:val="4F552F5A"/>
    <w:rsid w:val="50290C58"/>
    <w:rsid w:val="50D91050"/>
    <w:rsid w:val="53981D4C"/>
    <w:rsid w:val="55342CF9"/>
    <w:rsid w:val="56DE2F1C"/>
    <w:rsid w:val="57090083"/>
    <w:rsid w:val="5C073259"/>
    <w:rsid w:val="61BE4076"/>
    <w:rsid w:val="655F6BFE"/>
    <w:rsid w:val="66342B59"/>
    <w:rsid w:val="669819BB"/>
    <w:rsid w:val="69D97BBF"/>
    <w:rsid w:val="69DF102E"/>
    <w:rsid w:val="6A234FFC"/>
    <w:rsid w:val="6B4E646B"/>
    <w:rsid w:val="6DDD0F3E"/>
    <w:rsid w:val="6E0948CB"/>
    <w:rsid w:val="70810303"/>
    <w:rsid w:val="71AE6998"/>
    <w:rsid w:val="74854894"/>
    <w:rsid w:val="77384FBA"/>
    <w:rsid w:val="78E73A5B"/>
    <w:rsid w:val="79A304E1"/>
    <w:rsid w:val="79D72945"/>
    <w:rsid w:val="7A9343F5"/>
    <w:rsid w:val="7AB7FF50"/>
    <w:rsid w:val="7AE66BD2"/>
    <w:rsid w:val="7B1D5A2F"/>
    <w:rsid w:val="7B582C81"/>
    <w:rsid w:val="7BFEB0DB"/>
    <w:rsid w:val="7BFFD6C3"/>
    <w:rsid w:val="CEFD3F3D"/>
    <w:rsid w:val="EA3F77F2"/>
    <w:rsid w:val="EEFE5989"/>
    <w:rsid w:val="EFCF3EAE"/>
    <w:rsid w:val="F5B764A2"/>
    <w:rsid w:val="F77F09F4"/>
    <w:rsid w:val="FFD7BFFC"/>
    <w:rsid w:val="FFFA6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rPr>
      <w:rFonts w:ascii="Calibri" w:hAnsi="Calibri" w:cs="黑体"/>
      <w:szCs w:val="22"/>
    </w:rPr>
  </w:style>
  <w:style w:type="character" w:customStyle="1" w:styleId="9">
    <w:name w:val="bumpedfont15"/>
    <w:basedOn w:val="7"/>
    <w:qFormat/>
    <w:uiPriority w:val="0"/>
  </w:style>
  <w:style w:type="character" w:customStyle="1" w:styleId="10">
    <w:name w:val="font11"/>
    <w:basedOn w:val="7"/>
    <w:qFormat/>
    <w:uiPriority w:val="0"/>
    <w:rPr>
      <w:rFonts w:hint="eastAsia" w:ascii="宋体" w:hAnsi="宋体" w:eastAsia="宋体" w:cs="宋体"/>
      <w:b/>
      <w:bCs/>
      <w:color w:val="000000"/>
      <w:sz w:val="18"/>
      <w:szCs w:val="18"/>
      <w:u w:val="none"/>
    </w:rPr>
  </w:style>
  <w:style w:type="character" w:customStyle="1" w:styleId="11">
    <w:name w:val="font21"/>
    <w:basedOn w:val="7"/>
    <w:qFormat/>
    <w:uiPriority w:val="0"/>
    <w:rPr>
      <w:rFonts w:hint="default" w:ascii="Times New Roman" w:hAnsi="Times New Roman" w:cs="Times New Roman"/>
      <w:b/>
      <w:bCs/>
      <w:color w:val="000000"/>
      <w:sz w:val="18"/>
      <w:szCs w:val="18"/>
      <w:u w:val="none"/>
    </w:rPr>
  </w:style>
  <w:style w:type="character" w:customStyle="1" w:styleId="12">
    <w:name w:val="font31"/>
    <w:basedOn w:val="7"/>
    <w:qFormat/>
    <w:uiPriority w:val="0"/>
    <w:rPr>
      <w:rFonts w:hint="default" w:ascii="Times New Roman" w:hAnsi="Times New Roman" w:cs="Times New Roman"/>
      <w:color w:val="000000"/>
      <w:sz w:val="18"/>
      <w:szCs w:val="18"/>
      <w:u w:val="none"/>
    </w:rPr>
  </w:style>
  <w:style w:type="character" w:customStyle="1" w:styleId="13">
    <w:name w:val="font41"/>
    <w:basedOn w:val="7"/>
    <w:qFormat/>
    <w:uiPriority w:val="0"/>
    <w:rPr>
      <w:rFonts w:hint="eastAsia" w:ascii="宋体" w:hAnsi="宋体" w:eastAsia="宋体" w:cs="宋体"/>
      <w:color w:val="000000"/>
      <w:sz w:val="18"/>
      <w:szCs w:val="18"/>
      <w:u w:val="none"/>
    </w:rPr>
  </w:style>
  <w:style w:type="paragraph" w:customStyle="1" w:styleId="14">
    <w:name w:val="s7"/>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937</Words>
  <Characters>958</Characters>
  <Lines>28</Lines>
  <Paragraphs>8</Paragraphs>
  <TotalTime>2</TotalTime>
  <ScaleCrop>false</ScaleCrop>
  <LinksUpToDate>false</LinksUpToDate>
  <CharactersWithSpaces>961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2025-02-11T11:04:00Z</dcterms:created>
  <dc:creator>user</dc:creator>
  <cp:lastModifiedBy>Administrator</cp:lastModifiedBy>
  <cp:lastPrinted>2025-08-28T01:58:00Z</cp:lastPrinted>
  <dcterms:modified xsi:type="dcterms:W3CDTF">2025-09-09T08:52:29Z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F1C1FEEC7AB14472A6D9640CC0D563A0_12</vt:lpwstr>
  </property>
</Properties>
</file>