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</w:p>
    <w:p>
      <w:pPr>
        <w:spacing w:line="640" w:lineRule="exact"/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北京市朝阳区投资促进服务中心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年部门整体绩效评价报告</w:t>
      </w:r>
    </w:p>
    <w:p>
      <w:pPr>
        <w:jc w:val="center"/>
        <w:rPr>
          <w:rFonts w:ascii="仿宋_GB2312"/>
          <w:szCs w:val="30"/>
        </w:rPr>
      </w:pPr>
    </w:p>
    <w:p>
      <w:pPr>
        <w:jc w:val="center"/>
        <w:rPr>
          <w:rFonts w:ascii="仿宋_GB2312"/>
          <w:szCs w:val="30"/>
        </w:rPr>
      </w:pPr>
    </w:p>
    <w:p>
      <w:pPr>
        <w:spacing w:line="600" w:lineRule="exact"/>
        <w:ind w:firstLine="640" w:firstLineChars="200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一、部门概况</w:t>
      </w:r>
    </w:p>
    <w:p>
      <w:pPr>
        <w:spacing w:line="600" w:lineRule="exact"/>
        <w:ind w:firstLine="640" w:firstLineChars="200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（一）机构设置及职责工作任务情况</w:t>
      </w:r>
    </w:p>
    <w:p>
      <w:pPr>
        <w:spacing w:line="600" w:lineRule="exact"/>
        <w:ind w:firstLine="640" w:firstLineChars="200"/>
        <w:rPr>
          <w:rFonts w:hint="eastAsia" w:ascii="仿宋_GB2312" w:hAnsi="仿宋" w:eastAsia="仿宋_GB2312"/>
          <w:bCs/>
          <w:sz w:val="32"/>
          <w:szCs w:val="32"/>
        </w:rPr>
      </w:pPr>
      <w:r>
        <w:rPr>
          <w:rFonts w:hint="eastAsia" w:ascii="仿宋_GB2312" w:hAnsi="仿宋" w:eastAsia="仿宋_GB2312"/>
          <w:bCs/>
          <w:sz w:val="32"/>
          <w:szCs w:val="32"/>
        </w:rPr>
        <w:t>北京市朝阳区投资促进服务中心为区政府直属事业单位，机构规格相当正处级，经费形式财政补助（全额）。 内设</w:t>
      </w:r>
      <w:r>
        <w:rPr>
          <w:rFonts w:hint="eastAsia" w:ascii="仿宋_GB2312" w:hAnsi="仿宋" w:eastAsia="仿宋_GB2312"/>
          <w:bCs/>
          <w:sz w:val="32"/>
          <w:szCs w:val="32"/>
          <w:lang w:val="en-US" w:eastAsia="zh-CN"/>
        </w:rPr>
        <w:t>8</w:t>
      </w:r>
      <w:r>
        <w:rPr>
          <w:rFonts w:hint="eastAsia" w:ascii="仿宋_GB2312" w:hAnsi="仿宋" w:eastAsia="仿宋_GB2312"/>
          <w:bCs/>
          <w:sz w:val="32"/>
          <w:szCs w:val="32"/>
        </w:rPr>
        <w:t>个科室，分别为办公室、综合科、项目促进一科、项目促进二科、项目促进三科、宣传推介科、联络科</w:t>
      </w:r>
      <w:r>
        <w:rPr>
          <w:rFonts w:hint="eastAsia" w:ascii="仿宋_GB2312" w:hAnsi="仿宋" w:eastAsia="仿宋_GB2312"/>
          <w:bCs/>
          <w:sz w:val="32"/>
          <w:szCs w:val="32"/>
          <w:lang w:eastAsia="zh-CN"/>
        </w:rPr>
        <w:t>、对外贸易促进服务科</w:t>
      </w:r>
      <w:r>
        <w:rPr>
          <w:rFonts w:hint="eastAsia" w:ascii="仿宋_GB2312" w:hAnsi="仿宋" w:eastAsia="仿宋_GB2312"/>
          <w:bCs/>
          <w:sz w:val="32"/>
          <w:szCs w:val="32"/>
        </w:rPr>
        <w:t>。</w:t>
      </w:r>
    </w:p>
    <w:p>
      <w:pPr>
        <w:pStyle w:val="2"/>
        <w:rPr>
          <w:rFonts w:hint="eastAsia" w:ascii="仿宋_GB2312" w:hAnsi="仿宋" w:eastAsia="仿宋_GB2312" w:cs="Times New Roman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Times New Roman"/>
          <w:bCs/>
          <w:kern w:val="2"/>
          <w:sz w:val="32"/>
          <w:szCs w:val="32"/>
          <w:lang w:val="en-US" w:eastAsia="zh-CN" w:bidi="ar-SA"/>
        </w:rPr>
        <w:t>单位主要职责为：落实区委区政府有关投资促进方面的措施，研究拟订本区投资促进工作的中长期发展规划和年度计划，并组织实施。负责围绕区域产业发展和投资促进等重点和热点问题开展研究，并提出完善优化投资环境和政策措施的意见和建议。负责本区投资促进业务工作的统筹协调。承担投资促进网络体系建设，整合本区投资促进资讯、区域商务承载空间信息和政策支持资源等工作。负责开展国际投资促进的交流与合作，提升本区国际化服务的能力和水平。负责宣传推介本区的产业发展规划、投资环境、投资促进政策，承担大型投资促进活动的组织、协调工作。负责洽谈、引进符合本区“高精尖”产业发展方向的重大企业和项目，协调落实对企业和项目的各项服务措施。负责组织社会机构开展投资促进工作。完成区委区政府交办的其他任务。</w:t>
      </w:r>
    </w:p>
    <w:p>
      <w:pPr>
        <w:spacing w:line="600" w:lineRule="exact"/>
        <w:ind w:firstLine="640" w:firstLineChars="200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（二）部门整体绩效目标设立情况</w:t>
      </w:r>
    </w:p>
    <w:p>
      <w:pPr>
        <w:spacing w:line="600" w:lineRule="exact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202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年度部门整体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绩效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目标是：落实区委区政府有关投资促进方面的措施，促进朝阳区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投资促进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工作，积极参与境内外商务交流活动，宣传推介朝阳区营商环境，搭建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投资促进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工作平台，协调促进重大项目落地，并对重大项目进行全程跟踪。</w:t>
      </w:r>
    </w:p>
    <w:p>
      <w:pPr>
        <w:spacing w:line="600" w:lineRule="exact"/>
        <w:ind w:firstLine="640" w:firstLineChars="200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二</w:t>
      </w:r>
      <w:r>
        <w:rPr>
          <w:rFonts w:ascii="黑体" w:hAnsi="黑体" w:eastAsia="黑体" w:cs="宋体"/>
          <w:color w:val="000000"/>
          <w:kern w:val="0"/>
          <w:sz w:val="32"/>
          <w:szCs w:val="32"/>
        </w:rPr>
        <w:t>、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当年</w:t>
      </w:r>
      <w:r>
        <w:rPr>
          <w:rFonts w:ascii="黑体" w:hAnsi="黑体" w:eastAsia="黑体" w:cs="宋体"/>
          <w:color w:val="000000"/>
          <w:kern w:val="0"/>
          <w:sz w:val="32"/>
          <w:szCs w:val="32"/>
        </w:rPr>
        <w:t>预算执行情况</w:t>
      </w:r>
    </w:p>
    <w:p>
      <w:pPr>
        <w:spacing w:line="600" w:lineRule="exact"/>
        <w:ind w:firstLine="640" w:firstLineChars="200"/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</w:rPr>
        <w:t>2024年全年预算数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  <w:lang w:val="en-US" w:eastAsia="zh-CN"/>
        </w:rPr>
        <w:t>1628.84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</w:rPr>
        <w:t>万元，其中，基本支出预算数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  <w:lang w:val="en-US" w:eastAsia="zh-CN"/>
        </w:rPr>
        <w:t>1102.80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</w:rPr>
        <w:t>万元，项目支出预算数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  <w:lang w:val="en-US" w:eastAsia="zh-CN"/>
        </w:rPr>
        <w:t>526.04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</w:rPr>
        <w:t>万元，其他支出预算数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  <w:lang w:val="en-US" w:eastAsia="zh-CN"/>
        </w:rPr>
        <w:t>0.00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</w:rPr>
        <w:t>万元。资金总体支出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  <w:lang w:val="en-US" w:eastAsia="zh-CN"/>
        </w:rPr>
        <w:t>1628.84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</w:rPr>
        <w:t>万元，其中，基本支出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  <w:lang w:val="en-US" w:eastAsia="zh-CN"/>
        </w:rPr>
        <w:t>1102.80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</w:rPr>
        <w:t>万元，项目支出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  <w:lang w:val="en-US" w:eastAsia="zh-CN"/>
        </w:rPr>
        <w:t>526.04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</w:rPr>
        <w:t>万元，其他支出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  <w:lang w:val="en-US" w:eastAsia="zh-CN"/>
        </w:rPr>
        <w:t>0.00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</w:rPr>
        <w:t>万元。预算执行率为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  <w:lang w:val="en-US" w:eastAsia="zh-CN"/>
        </w:rPr>
        <w:t>100%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</w:rPr>
        <w:t>。</w:t>
      </w:r>
    </w:p>
    <w:p>
      <w:pPr>
        <w:spacing w:line="600" w:lineRule="exact"/>
        <w:ind w:left="105" w:leftChars="50" w:firstLine="480" w:firstLineChars="150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三</w:t>
      </w:r>
      <w:r>
        <w:rPr>
          <w:rFonts w:ascii="黑体" w:hAnsi="黑体" w:eastAsia="黑体" w:cs="宋体"/>
          <w:color w:val="000000"/>
          <w:kern w:val="0"/>
          <w:sz w:val="32"/>
          <w:szCs w:val="32"/>
        </w:rPr>
        <w:t>、整体绩效目标实现情况</w:t>
      </w:r>
    </w:p>
    <w:p>
      <w:pPr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yellow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2024年，区投促中心坚决贯彻区委、区政府决策部署，坚持按照 “八个统筹”“五带”的指示精神，充分发挥统筹、指导、协调、服务全区高质量项目促进、高标准企业服务、高水平活动举办的作用，深化产业链招商、资本化招商、国际化招商，与区内部门联合大招商，招</w:t>
      </w:r>
      <w:bookmarkStart w:id="0" w:name="_GoBack"/>
      <w:bookmarkEnd w:id="0"/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大商、招好商，形成招商合力，精准对接，整合资源，推动全区经济高质量发展。同时，结合202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年预算批复金额，根据实际情况统筹安排资金使用。</w:t>
      </w:r>
    </w:p>
    <w:p>
      <w:pPr>
        <w:rPr>
          <w:rFonts w:hint="eastAsia" w:ascii="仿宋_GB2312" w:hAnsi="宋体" w:eastAsia="仿宋_GB2312" w:cs="宋体"/>
          <w:b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color w:val="000000"/>
          <w:kern w:val="0"/>
          <w:sz w:val="32"/>
          <w:szCs w:val="32"/>
        </w:rPr>
        <w:t>（一）产出完成情况</w:t>
      </w:r>
    </w:p>
    <w:p>
      <w:pPr>
        <w:ind w:firstLine="640" w:firstLineChars="200"/>
        <w:rPr>
          <w:rFonts w:hint="default" w:ascii="仿宋_GB2312" w:hAnsi="宋体" w:eastAsia="仿宋_GB2312" w:cs="宋体"/>
          <w:color w:val="000000"/>
          <w:kern w:val="0"/>
          <w:sz w:val="32"/>
          <w:szCs w:val="32"/>
          <w:highlight w:val="yellow"/>
          <w:lang w:val="en-US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1.产出数量。区投促中心积极对接国家级资源，全年主办了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  <w:lang w:val="en-US" w:eastAsia="zh-CN"/>
        </w:rPr>
        <w:t>32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场多种形式的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投资促进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推介活动，打造“与世界·共朝阳”特色活动品牌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成功举办了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</w:rPr>
        <w:t>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highlight w:val="none"/>
          <w:lang w:eastAsia="zh-CN"/>
        </w:rPr>
        <w:t>八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场高水准对外投资促进活动。积极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组织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参与国家级市级重大经贸活动平台，举办高质量招商推介活动，吸引重大产业项目落地。</w:t>
      </w:r>
    </w:p>
    <w:p>
      <w:pPr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2.产出质量。通过参加国家级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投资促进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活动、举办“与世界·共朝阳”品牌活动、开展资本市场投资动态调研、加大企业走访上门服务力度、沟通社会化招商机构等多种手段，新增落地项目。</w:t>
      </w:r>
    </w:p>
    <w:p>
      <w:pPr>
        <w:ind w:firstLine="640" w:firstLineChars="200"/>
        <w:rPr>
          <w:rFonts w:hint="default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3.产出进度。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各项目均按照年度计划执行，于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2024年年度时间限度内完成。</w:t>
      </w:r>
    </w:p>
    <w:p>
      <w:pPr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4.产出成本。按预算合理支配使用。在预算执行过程中，能够遵守相关政策法规的要求，严格财政支出的成本控制，提高了预算执行率，也进一步减少预算成本占用。</w:t>
      </w:r>
    </w:p>
    <w:p>
      <w:pPr>
        <w:rPr>
          <w:rFonts w:ascii="仿宋_GB2312" w:hAnsi="宋体" w:eastAsia="仿宋_GB2312" w:cs="宋体"/>
          <w:b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color w:val="000000"/>
          <w:kern w:val="0"/>
          <w:sz w:val="32"/>
          <w:szCs w:val="32"/>
        </w:rPr>
        <w:t>（二）效果实现情况</w:t>
      </w:r>
    </w:p>
    <w:p>
      <w:pPr>
        <w:spacing w:line="600" w:lineRule="exact"/>
        <w:ind w:left="105" w:leftChars="50" w:firstLine="480" w:firstLineChars="150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1.经济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效益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" w:eastAsia="仿宋_GB2312" w:cs="仿宋"/>
          <w:bCs/>
          <w:kern w:val="2"/>
          <w:sz w:val="32"/>
          <w:szCs w:val="32"/>
          <w:lang w:val="en-US" w:eastAsia="zh-CN" w:bidi="ar-SA"/>
        </w:rPr>
        <w:t>部门预算资金较好保障了单位平稳运转及发挥主要工作职能，为投资促进工作顺利进行提供了经济基础。</w:t>
      </w:r>
    </w:p>
    <w:p>
      <w:pPr>
        <w:spacing w:line="600" w:lineRule="exact"/>
        <w:ind w:left="105" w:leftChars="50" w:firstLine="480" w:firstLineChars="150"/>
        <w:rPr>
          <w:rFonts w:hint="eastAsia" w:ascii="仿宋_GB2312" w:hAnsi="仿宋" w:eastAsia="仿宋_GB2312" w:cs="仿宋"/>
          <w:bCs/>
          <w:kern w:val="2"/>
          <w:sz w:val="32"/>
          <w:szCs w:val="32"/>
          <w:highlight w:val="yellow"/>
          <w:lang w:val="en-US" w:eastAsia="zh-CN" w:bidi="ar-SA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2.社会效益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加大服务重点外资来源地及辖区重点企业，主动上门服务，提前了解掌握企业投资计划，促成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央企在我区新增投资，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辖区内多个重点央企、外企地区总部、重点新兴产业企业大幅增资；通过消博会、进博会、京港洽谈会等重量级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投资促进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平台，促成多个重点项目落户我区。</w:t>
      </w:r>
    </w:p>
    <w:p>
      <w:pPr>
        <w:spacing w:line="600" w:lineRule="exact"/>
        <w:ind w:left="105" w:leftChars="50" w:firstLine="480" w:firstLineChars="15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.服务对象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满意度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。举办或参与投资促进活动的满意度较好，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更加紧密的加强了与企业联系。</w:t>
      </w:r>
    </w:p>
    <w:p>
      <w:pPr>
        <w:spacing w:line="600" w:lineRule="exact"/>
        <w:ind w:left="105" w:leftChars="50" w:firstLine="480" w:firstLineChars="150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四</w:t>
      </w:r>
      <w:r>
        <w:rPr>
          <w:rFonts w:ascii="黑体" w:hAnsi="黑体" w:eastAsia="黑体" w:cs="宋体"/>
          <w:color w:val="000000"/>
          <w:kern w:val="0"/>
          <w:sz w:val="32"/>
          <w:szCs w:val="32"/>
        </w:rPr>
        <w:t>、预算管理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情况分</w:t>
      </w:r>
      <w:r>
        <w:rPr>
          <w:rFonts w:ascii="黑体" w:hAnsi="黑体" w:eastAsia="黑体" w:cs="宋体"/>
          <w:color w:val="000000"/>
          <w:kern w:val="0"/>
          <w:sz w:val="32"/>
          <w:szCs w:val="32"/>
        </w:rPr>
        <w:t>析</w:t>
      </w:r>
    </w:p>
    <w:p>
      <w:pPr>
        <w:spacing w:line="600" w:lineRule="exact"/>
        <w:ind w:left="105" w:leftChars="50" w:firstLine="480" w:firstLineChars="150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（一）财务管理</w:t>
      </w:r>
    </w:p>
    <w:p>
      <w:pPr>
        <w:spacing w:line="600" w:lineRule="exact"/>
        <w:ind w:left="105" w:leftChars="50" w:firstLine="480" w:firstLineChars="15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1.财务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管理制度健全性</w:t>
      </w:r>
    </w:p>
    <w:p>
      <w:pPr>
        <w:spacing w:line="600" w:lineRule="exact"/>
        <w:ind w:left="105" w:leftChars="50" w:firstLine="480" w:firstLineChars="15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为做好财务管理工作，强化财务内控监督，我中心持续完善财务制度体系，修订各类财务管理制度。</w:t>
      </w:r>
    </w:p>
    <w:p>
      <w:pPr>
        <w:spacing w:line="600" w:lineRule="exact"/>
        <w:ind w:left="105" w:leftChars="50" w:firstLine="480" w:firstLineChars="15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2.资金使用合规性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和安全性</w:t>
      </w:r>
    </w:p>
    <w:p>
      <w:pPr>
        <w:spacing w:line="600" w:lineRule="exact"/>
        <w:ind w:left="105" w:leftChars="50" w:firstLine="480" w:firstLineChars="15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bCs/>
          <w:kern w:val="2"/>
          <w:sz w:val="32"/>
          <w:szCs w:val="32"/>
          <w:lang w:val="en-US" w:eastAsia="zh-CN" w:bidi="ar-SA"/>
        </w:rPr>
        <w:t>2024年，中心严格落实资金管理使用相关制度，严格控制“三公经费”等一般性支出，通过加大执行环节控制，提高预算资金使用的合规性和安全性。严格按照部门预算批复执行，坚持统筹兼顾、指标控制、从严考核的原则，紧紧围绕部门发展需要确定基本支出和项目支出预算，严格执行预算管理制度，不挪用和挤占项目资金，确保资金使用安全。</w:t>
      </w:r>
    </w:p>
    <w:p>
      <w:pPr>
        <w:spacing w:line="600" w:lineRule="exact"/>
        <w:ind w:left="105" w:leftChars="50" w:firstLine="480" w:firstLineChars="15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3.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会计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基础信息完善性</w:t>
      </w:r>
    </w:p>
    <w:p>
      <w:pPr>
        <w:spacing w:line="600" w:lineRule="exact"/>
        <w:ind w:left="105" w:leftChars="50" w:firstLine="480" w:firstLineChars="15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严格按照《政府会计制度》要求，开展会计核算工作，确保会计基础信息完善。加强会计核算基本工作，保证会计资料准确、完整。预算资金的使用与相关的预算财务管理制度相符，同时，符合国家财经法规和财务管理制度规定，以及有关专项资金管理办法的规定。根据财政局关于做好部门预决算公开的相关要求，本部门及时并完整的向社会公开部门的预决算信息。</w:t>
      </w:r>
    </w:p>
    <w:p>
      <w:pPr>
        <w:spacing w:line="600" w:lineRule="exact"/>
        <w:ind w:left="105" w:leftChars="50" w:firstLine="480" w:firstLineChars="150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（二）资产管理</w:t>
      </w:r>
    </w:p>
    <w:p>
      <w:pPr>
        <w:spacing w:line="600" w:lineRule="exact"/>
        <w:ind w:left="105" w:leftChars="50" w:firstLine="480" w:firstLineChars="15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我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单位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严格按照《北京市朝阳区投资促进服务中心财务管理制度》、《北京市朝阳区投资促进服务中心固定资产管理办法》管理相关资产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，并</w:t>
      </w:r>
      <w:r>
        <w:rPr>
          <w:rFonts w:hint="eastAsia" w:ascii="仿宋_GB2312" w:hAnsi="仿宋" w:eastAsia="仿宋_GB2312" w:cs="仿宋"/>
          <w:bCs/>
          <w:kern w:val="2"/>
          <w:sz w:val="32"/>
          <w:szCs w:val="32"/>
          <w:lang w:val="en-US" w:eastAsia="zh-CN" w:bidi="ar-SA"/>
        </w:rPr>
        <w:t>按时完成部门资产动态系统的年度报告工作。</w:t>
      </w:r>
    </w:p>
    <w:p>
      <w:pPr>
        <w:spacing w:line="600" w:lineRule="exact"/>
        <w:ind w:left="105" w:leftChars="50" w:firstLine="480" w:firstLineChars="150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（三）绩效</w:t>
      </w:r>
      <w:r>
        <w:rPr>
          <w:rFonts w:ascii="楷体_GB2312" w:eastAsia="楷体_GB2312"/>
          <w:sz w:val="32"/>
          <w:szCs w:val="32"/>
        </w:rPr>
        <w:t>管理</w:t>
      </w:r>
    </w:p>
    <w:p>
      <w:pPr>
        <w:spacing w:line="600" w:lineRule="exact"/>
        <w:ind w:left="105" w:leftChars="50" w:firstLine="480" w:firstLineChars="15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根据财政局关于绩效管理的相关要求，我中心于半年度、年度开展绩效自评管理工作，结合年初制定的《项目支出绩效目标表》，自评各项目的绩效完成情况，并完成《部门整体绩效评价报告》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及《项目支出绩效评价报告》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。</w:t>
      </w:r>
    </w:p>
    <w:p>
      <w:pPr>
        <w:spacing w:line="600" w:lineRule="exact"/>
        <w:ind w:left="105" w:leftChars="50" w:firstLine="480" w:firstLineChars="150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（四）结转结余率</w:t>
      </w:r>
    </w:p>
    <w:p>
      <w:pPr>
        <w:spacing w:line="600" w:lineRule="exact"/>
        <w:ind w:left="105" w:leftChars="50" w:firstLine="480" w:firstLineChars="150"/>
        <w:rPr>
          <w:rFonts w:ascii="楷体_GB2312" w:eastAsia="楷体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2024年度，</w:t>
      </w:r>
      <w:r>
        <w:rPr>
          <w:rFonts w:hint="eastAsia" w:ascii="仿宋_GB2312" w:eastAsia="仿宋_GB2312"/>
          <w:sz w:val="32"/>
          <w:szCs w:val="32"/>
          <w:lang w:eastAsia="zh-CN"/>
        </w:rPr>
        <w:t>财政结转结余资金为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0元，</w:t>
      </w:r>
      <w:r>
        <w:rPr>
          <w:rFonts w:hint="eastAsia" w:ascii="仿宋_GB2312" w:eastAsia="仿宋_GB2312"/>
          <w:sz w:val="32"/>
          <w:szCs w:val="32"/>
        </w:rPr>
        <w:t>结转结余率为0%。</w:t>
      </w:r>
    </w:p>
    <w:p>
      <w:pPr>
        <w:spacing w:line="600" w:lineRule="exact"/>
        <w:ind w:left="105" w:leftChars="50" w:firstLine="480" w:firstLineChars="150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（五）部门</w:t>
      </w:r>
      <w:r>
        <w:rPr>
          <w:rFonts w:ascii="楷体_GB2312" w:eastAsia="楷体_GB2312"/>
          <w:sz w:val="32"/>
          <w:szCs w:val="32"/>
        </w:rPr>
        <w:t>预决算差异率</w:t>
      </w:r>
    </w:p>
    <w:p>
      <w:pPr>
        <w:spacing w:line="600" w:lineRule="exact"/>
        <w:ind w:left="105" w:leftChars="50" w:firstLine="480" w:firstLineChars="150"/>
        <w:rPr>
          <w:rFonts w:ascii="仿宋_GB2312" w:hAnsi="Calibri" w:eastAsia="仿宋_GB2312"/>
          <w:sz w:val="32"/>
          <w:szCs w:val="32"/>
          <w:highlight w:val="none"/>
        </w:rPr>
      </w:pPr>
      <w:r>
        <w:rPr>
          <w:rFonts w:hint="eastAsia" w:ascii="仿宋_GB2312" w:hAnsi="Calibri" w:eastAsia="仿宋_GB2312"/>
          <w:sz w:val="32"/>
          <w:szCs w:val="32"/>
          <w:highlight w:val="none"/>
        </w:rPr>
        <w:t>202</w:t>
      </w:r>
      <w:r>
        <w:rPr>
          <w:rFonts w:hint="eastAsia" w:ascii="仿宋_GB2312" w:hAnsi="Calibri" w:eastAsia="仿宋_GB2312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Calibri" w:eastAsia="仿宋_GB2312"/>
          <w:sz w:val="32"/>
          <w:szCs w:val="32"/>
          <w:highlight w:val="none"/>
        </w:rPr>
        <w:t>年预决算差异率</w:t>
      </w:r>
      <w:r>
        <w:rPr>
          <w:rFonts w:hint="eastAsia" w:ascii="仿宋_GB2312" w:hAnsi="Calibri" w:eastAsia="仿宋_GB2312"/>
          <w:sz w:val="32"/>
          <w:szCs w:val="32"/>
          <w:highlight w:val="none"/>
          <w:lang w:val="en-US" w:eastAsia="zh-CN"/>
        </w:rPr>
        <w:t>16.37</w:t>
      </w:r>
      <w:r>
        <w:rPr>
          <w:rFonts w:hint="eastAsia" w:ascii="仿宋_GB2312" w:hAnsi="Calibri" w:eastAsia="仿宋_GB2312"/>
          <w:sz w:val="32"/>
          <w:szCs w:val="32"/>
          <w:highlight w:val="none"/>
        </w:rPr>
        <w:t>%，决算数</w:t>
      </w:r>
      <w:r>
        <w:rPr>
          <w:rFonts w:hint="eastAsia" w:ascii="仿宋_GB2312" w:hAnsi="Calibri" w:eastAsia="仿宋_GB2312"/>
          <w:sz w:val="32"/>
          <w:szCs w:val="32"/>
          <w:highlight w:val="none"/>
          <w:lang w:val="en-US" w:eastAsia="zh-CN"/>
        </w:rPr>
        <w:t>1628.84</w:t>
      </w:r>
      <w:r>
        <w:rPr>
          <w:rFonts w:hint="eastAsia" w:ascii="仿宋_GB2312" w:hAnsi="Calibri" w:eastAsia="仿宋_GB2312"/>
          <w:sz w:val="32"/>
          <w:szCs w:val="32"/>
          <w:highlight w:val="none"/>
        </w:rPr>
        <w:t>万元，</w:t>
      </w:r>
      <w:r>
        <w:rPr>
          <w:rFonts w:hint="eastAsia" w:ascii="仿宋_GB2312" w:hAnsi="Calibri" w:eastAsia="仿宋_GB2312"/>
          <w:sz w:val="32"/>
          <w:szCs w:val="32"/>
          <w:highlight w:val="none"/>
          <w:lang w:eastAsia="zh-CN"/>
        </w:rPr>
        <w:t>年初</w:t>
      </w:r>
      <w:r>
        <w:rPr>
          <w:rFonts w:hint="eastAsia" w:ascii="仿宋_GB2312" w:hAnsi="Calibri" w:eastAsia="仿宋_GB2312"/>
          <w:sz w:val="32"/>
          <w:szCs w:val="32"/>
          <w:highlight w:val="none"/>
        </w:rPr>
        <w:t>预算数</w:t>
      </w:r>
      <w:r>
        <w:rPr>
          <w:rFonts w:hint="eastAsia" w:ascii="仿宋_GB2312" w:hAnsi="Calibri" w:eastAsia="仿宋_GB2312"/>
          <w:sz w:val="32"/>
          <w:szCs w:val="32"/>
          <w:highlight w:val="none"/>
          <w:lang w:val="en-US" w:eastAsia="zh-CN"/>
        </w:rPr>
        <w:t>1399.74</w:t>
      </w:r>
      <w:r>
        <w:rPr>
          <w:rFonts w:hint="eastAsia" w:ascii="仿宋_GB2312" w:hAnsi="Calibri" w:eastAsia="仿宋_GB2312"/>
          <w:sz w:val="32"/>
          <w:szCs w:val="32"/>
          <w:highlight w:val="none"/>
        </w:rPr>
        <w:t>万元。</w:t>
      </w:r>
    </w:p>
    <w:p>
      <w:pPr>
        <w:spacing w:line="600" w:lineRule="exact"/>
        <w:ind w:left="105" w:leftChars="50" w:firstLine="480" w:firstLineChars="15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五、总体</w:t>
      </w:r>
      <w:r>
        <w:rPr>
          <w:rFonts w:ascii="黑体" w:hAnsi="黑体" w:eastAsia="黑体"/>
          <w:sz w:val="32"/>
          <w:szCs w:val="32"/>
        </w:rPr>
        <w:t>评价结论</w:t>
      </w:r>
    </w:p>
    <w:p>
      <w:pPr>
        <w:spacing w:line="600" w:lineRule="exact"/>
        <w:ind w:left="105" w:leftChars="50" w:firstLine="480" w:firstLineChars="150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（一）评价</w:t>
      </w:r>
      <w:r>
        <w:rPr>
          <w:rFonts w:ascii="楷体_GB2312" w:eastAsia="楷体_GB2312"/>
          <w:sz w:val="32"/>
          <w:szCs w:val="32"/>
        </w:rPr>
        <w:t>得分</w:t>
      </w:r>
      <w:r>
        <w:rPr>
          <w:rFonts w:hint="eastAsia" w:ascii="楷体_GB2312" w:eastAsia="楷体_GB2312"/>
          <w:sz w:val="32"/>
          <w:szCs w:val="32"/>
        </w:rPr>
        <w:t>情况</w:t>
      </w:r>
    </w:p>
    <w:p>
      <w:pPr>
        <w:spacing w:line="600" w:lineRule="exact"/>
        <w:ind w:left="105" w:leftChars="50" w:firstLine="480" w:firstLineChars="150"/>
        <w:rPr>
          <w:rFonts w:hint="default" w:ascii="仿宋_GB2312" w:hAnsi="Calibri" w:eastAsia="仿宋_GB2312"/>
          <w:sz w:val="32"/>
          <w:szCs w:val="32"/>
          <w:lang w:val="en-US"/>
        </w:rPr>
      </w:pPr>
      <w:r>
        <w:rPr>
          <w:rFonts w:hint="eastAsia" w:ascii="仿宋_GB2312" w:hAnsi="Calibri" w:eastAsia="仿宋_GB2312"/>
          <w:sz w:val="32"/>
          <w:szCs w:val="32"/>
        </w:rPr>
        <w:t>202</w:t>
      </w:r>
      <w:r>
        <w:rPr>
          <w:rFonts w:hint="eastAsia" w:ascii="仿宋_GB2312" w:hAnsi="Calibri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Calibri" w:eastAsia="仿宋_GB2312"/>
          <w:sz w:val="32"/>
          <w:szCs w:val="32"/>
        </w:rPr>
        <w:t>年度，我中心共有</w:t>
      </w:r>
      <w:r>
        <w:rPr>
          <w:rFonts w:hint="eastAsia" w:ascii="仿宋_GB2312" w:hAnsi="Calibri" w:eastAsia="仿宋_GB2312"/>
          <w:sz w:val="32"/>
          <w:szCs w:val="32"/>
          <w:highlight w:val="none"/>
        </w:rPr>
        <w:t>1</w:t>
      </w:r>
      <w:r>
        <w:rPr>
          <w:rFonts w:hint="eastAsia" w:ascii="仿宋_GB2312" w:hAnsi="Calibri" w:eastAsia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Calibri" w:eastAsia="仿宋_GB2312"/>
          <w:sz w:val="32"/>
          <w:szCs w:val="32"/>
          <w:highlight w:val="none"/>
        </w:rPr>
        <w:t>个项目支出项目，绩效自评得分总体情况为：评分得</w:t>
      </w:r>
      <w:r>
        <w:rPr>
          <w:rFonts w:hint="eastAsia" w:ascii="仿宋_GB2312" w:hAnsi="Calibri" w:eastAsia="仿宋_GB2312"/>
          <w:b/>
          <w:sz w:val="32"/>
          <w:szCs w:val="32"/>
          <w:highlight w:val="none"/>
        </w:rPr>
        <w:t>优</w:t>
      </w:r>
      <w:r>
        <w:rPr>
          <w:rFonts w:hint="eastAsia" w:ascii="仿宋_GB2312" w:hAnsi="Calibri" w:eastAsia="仿宋_GB2312"/>
          <w:sz w:val="32"/>
          <w:szCs w:val="32"/>
          <w:highlight w:val="none"/>
        </w:rPr>
        <w:t>的项目（90（含）-100分）有1</w:t>
      </w:r>
      <w:r>
        <w:rPr>
          <w:rFonts w:hint="eastAsia" w:ascii="仿宋_GB2312" w:hAnsi="Calibri" w:eastAsia="仿宋_GB2312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Calibri" w:eastAsia="仿宋_GB2312"/>
          <w:sz w:val="32"/>
          <w:szCs w:val="32"/>
          <w:highlight w:val="none"/>
        </w:rPr>
        <w:t>个</w:t>
      </w:r>
      <w:r>
        <w:rPr>
          <w:rFonts w:hint="eastAsia" w:ascii="仿宋_GB2312" w:hAnsi="Calibri" w:eastAsia="仿宋_GB2312"/>
          <w:sz w:val="32"/>
          <w:szCs w:val="32"/>
        </w:rPr>
        <w:t>，评分得</w:t>
      </w:r>
      <w:r>
        <w:rPr>
          <w:rFonts w:hint="eastAsia" w:ascii="仿宋_GB2312" w:hAnsi="Calibri" w:eastAsia="仿宋_GB2312"/>
          <w:b/>
          <w:sz w:val="32"/>
          <w:szCs w:val="32"/>
        </w:rPr>
        <w:t>良</w:t>
      </w:r>
      <w:r>
        <w:rPr>
          <w:rFonts w:hint="eastAsia" w:ascii="仿宋_GB2312" w:hAnsi="Calibri" w:eastAsia="仿宋_GB2312"/>
          <w:sz w:val="32"/>
          <w:szCs w:val="32"/>
        </w:rPr>
        <w:t>（80（含）-90分）的项目有</w:t>
      </w:r>
      <w:r>
        <w:rPr>
          <w:rFonts w:hint="eastAsia" w:ascii="仿宋_GB2312" w:hAnsi="Calibri" w:eastAsia="仿宋_GB2312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hAnsi="Calibri" w:eastAsia="仿宋_GB2312"/>
          <w:sz w:val="32"/>
          <w:szCs w:val="32"/>
        </w:rPr>
        <w:t>个，评分得</w:t>
      </w:r>
      <w:r>
        <w:rPr>
          <w:rFonts w:hint="eastAsia" w:ascii="仿宋_GB2312" w:hAnsi="Calibri" w:eastAsia="仿宋_GB2312"/>
          <w:b/>
          <w:sz w:val="32"/>
          <w:szCs w:val="32"/>
        </w:rPr>
        <w:t>中</w:t>
      </w:r>
      <w:r>
        <w:rPr>
          <w:rFonts w:hint="eastAsia" w:ascii="仿宋_GB2312" w:hAnsi="Calibri" w:eastAsia="仿宋_GB2312"/>
          <w:sz w:val="32"/>
          <w:szCs w:val="32"/>
        </w:rPr>
        <w:t>（60（含）-80分）的项目有0 个，评分得</w:t>
      </w:r>
      <w:r>
        <w:rPr>
          <w:rFonts w:hint="eastAsia" w:ascii="仿宋_GB2312" w:hAnsi="Calibri" w:eastAsia="仿宋_GB2312"/>
          <w:b/>
          <w:sz w:val="32"/>
          <w:szCs w:val="32"/>
        </w:rPr>
        <w:t>差</w:t>
      </w:r>
      <w:r>
        <w:rPr>
          <w:rFonts w:hint="eastAsia" w:ascii="仿宋_GB2312" w:hAnsi="Calibri" w:eastAsia="仿宋_GB2312"/>
          <w:sz w:val="32"/>
          <w:szCs w:val="32"/>
        </w:rPr>
        <w:t>（60分以下）的项目有0个。</w:t>
      </w:r>
    </w:p>
    <w:p>
      <w:pPr>
        <w:numPr>
          <w:ilvl w:val="0"/>
          <w:numId w:val="1"/>
        </w:numPr>
        <w:spacing w:line="600" w:lineRule="exact"/>
        <w:ind w:left="105" w:leftChars="50" w:firstLine="480" w:firstLineChars="150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存在的问题及原因分析</w:t>
      </w:r>
    </w:p>
    <w:p>
      <w:pPr>
        <w:pStyle w:val="2"/>
        <w:ind w:left="0" w:leftChars="0" w:firstLine="640" w:firstLineChars="200"/>
        <w:rPr>
          <w:rFonts w:hint="eastAsia" w:ascii="仿宋_GB2312" w:hAnsi="仿宋" w:eastAsia="仿宋_GB2312" w:cs="仿宋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仿宋"/>
          <w:bCs/>
          <w:kern w:val="2"/>
          <w:sz w:val="32"/>
          <w:szCs w:val="32"/>
          <w:lang w:val="en-US" w:eastAsia="zh-CN" w:bidi="ar-SA"/>
        </w:rPr>
        <w:t>2024年部门整体绩效总体目标绩效效果指标细化、量化不足，绩效目标指标设置不够完整，效益及满意度等指标设置过于笼统。</w:t>
      </w:r>
    </w:p>
    <w:p>
      <w:pPr>
        <w:spacing w:line="60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六、措施及建议</w:t>
      </w:r>
    </w:p>
    <w:p>
      <w:pPr>
        <w:pStyle w:val="2"/>
        <w:ind w:firstLine="56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bCs/>
          <w:kern w:val="2"/>
          <w:sz w:val="32"/>
          <w:szCs w:val="32"/>
          <w:lang w:val="en-US" w:eastAsia="zh-CN" w:bidi="ar-SA"/>
        </w:rPr>
        <w:t>进一步强化预算绩效管理理念，结合工作实际，科学合理设置绩效指标，合理有效编制项目预算，提高预算执行刚性约束。持续加强项目的全过程管理，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制定预算资金使用时间总体安排计划，统筹资金使用进度，跟进预算执行情况</w:t>
      </w:r>
      <w:r>
        <w:rPr>
          <w:rFonts w:hint="eastAsia" w:ascii="仿宋_GB2312" w:hAnsi="仿宋" w:eastAsia="仿宋_GB2312" w:cs="仿宋"/>
          <w:bCs/>
          <w:kern w:val="2"/>
          <w:sz w:val="32"/>
          <w:szCs w:val="32"/>
          <w:lang w:val="en-US" w:eastAsia="zh-CN" w:bidi="ar-SA"/>
        </w:rPr>
        <w:t>。</w:t>
      </w:r>
    </w:p>
    <w:p>
      <w:pPr>
        <w:spacing w:line="60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Arial Unicode MS"/>
    <w:panose1 w:val="02010609060101010101"/>
    <w:charset w:val="86"/>
    <w:family w:val="decorative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779735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C8CC4"/>
    <w:multiLevelType w:val="singleLevel"/>
    <w:tmpl w:val="052C8CC4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69BF12E6"/>
    <w:rsid w:val="00024555"/>
    <w:rsid w:val="000C04FF"/>
    <w:rsid w:val="000C5912"/>
    <w:rsid w:val="000D4847"/>
    <w:rsid w:val="00111FB4"/>
    <w:rsid w:val="00167273"/>
    <w:rsid w:val="001779E9"/>
    <w:rsid w:val="001A7389"/>
    <w:rsid w:val="001F213A"/>
    <w:rsid w:val="002B3D3C"/>
    <w:rsid w:val="00301727"/>
    <w:rsid w:val="003D5E15"/>
    <w:rsid w:val="00412593"/>
    <w:rsid w:val="004812D4"/>
    <w:rsid w:val="004F7DCC"/>
    <w:rsid w:val="005135E8"/>
    <w:rsid w:val="005257FA"/>
    <w:rsid w:val="00552EEE"/>
    <w:rsid w:val="005E14B5"/>
    <w:rsid w:val="00662211"/>
    <w:rsid w:val="006A497C"/>
    <w:rsid w:val="006F30DB"/>
    <w:rsid w:val="00703ABB"/>
    <w:rsid w:val="007117E5"/>
    <w:rsid w:val="00736B04"/>
    <w:rsid w:val="00760E87"/>
    <w:rsid w:val="007F5EF7"/>
    <w:rsid w:val="00833637"/>
    <w:rsid w:val="008431B9"/>
    <w:rsid w:val="00845DFB"/>
    <w:rsid w:val="0085676D"/>
    <w:rsid w:val="00874487"/>
    <w:rsid w:val="00890C9D"/>
    <w:rsid w:val="008A4A3E"/>
    <w:rsid w:val="008B5117"/>
    <w:rsid w:val="008C3FCE"/>
    <w:rsid w:val="00964B57"/>
    <w:rsid w:val="00A11D2E"/>
    <w:rsid w:val="00A12B36"/>
    <w:rsid w:val="00A14E11"/>
    <w:rsid w:val="00A17DCE"/>
    <w:rsid w:val="00A60A8D"/>
    <w:rsid w:val="00A77AE8"/>
    <w:rsid w:val="00AF6FEA"/>
    <w:rsid w:val="00B044E4"/>
    <w:rsid w:val="00B11821"/>
    <w:rsid w:val="00B13573"/>
    <w:rsid w:val="00B22706"/>
    <w:rsid w:val="00CB23B6"/>
    <w:rsid w:val="00CB3F32"/>
    <w:rsid w:val="00CE5EA4"/>
    <w:rsid w:val="00D037F4"/>
    <w:rsid w:val="00D131A8"/>
    <w:rsid w:val="00DF70CB"/>
    <w:rsid w:val="00E42CC1"/>
    <w:rsid w:val="00E749DC"/>
    <w:rsid w:val="00E76028"/>
    <w:rsid w:val="00EC34FA"/>
    <w:rsid w:val="00EC65E3"/>
    <w:rsid w:val="00ED53BD"/>
    <w:rsid w:val="00F026D4"/>
    <w:rsid w:val="00F15DA1"/>
    <w:rsid w:val="00F31FFB"/>
    <w:rsid w:val="00F64DCA"/>
    <w:rsid w:val="01532108"/>
    <w:rsid w:val="082C206C"/>
    <w:rsid w:val="0FBD3F4C"/>
    <w:rsid w:val="10322A11"/>
    <w:rsid w:val="223105F4"/>
    <w:rsid w:val="24C7022C"/>
    <w:rsid w:val="2BF27103"/>
    <w:rsid w:val="2D142222"/>
    <w:rsid w:val="2E3F53AF"/>
    <w:rsid w:val="2FD45FB8"/>
    <w:rsid w:val="3A2164DA"/>
    <w:rsid w:val="3B317EAF"/>
    <w:rsid w:val="3DF70955"/>
    <w:rsid w:val="42737A64"/>
    <w:rsid w:val="466D4111"/>
    <w:rsid w:val="4C846E09"/>
    <w:rsid w:val="5018377F"/>
    <w:rsid w:val="53D24235"/>
    <w:rsid w:val="579E1B5C"/>
    <w:rsid w:val="585C45BE"/>
    <w:rsid w:val="585D7143"/>
    <w:rsid w:val="60BC25E9"/>
    <w:rsid w:val="62C62DB0"/>
    <w:rsid w:val="6706605C"/>
    <w:rsid w:val="69BF12E6"/>
    <w:rsid w:val="6C0866F5"/>
    <w:rsid w:val="71CE4D87"/>
    <w:rsid w:val="7723415C"/>
    <w:rsid w:val="77FF9557"/>
    <w:rsid w:val="79FF8E75"/>
    <w:rsid w:val="7BA93068"/>
    <w:rsid w:val="7BCA2B23"/>
    <w:rsid w:val="7CFA073E"/>
    <w:rsid w:val="7D5A26A2"/>
    <w:rsid w:val="7D93356B"/>
    <w:rsid w:val="7DB6990A"/>
    <w:rsid w:val="7EF7B186"/>
    <w:rsid w:val="7FAE20F1"/>
    <w:rsid w:val="9DDE7049"/>
    <w:rsid w:val="BDEFB41E"/>
    <w:rsid w:val="BE321B68"/>
    <w:rsid w:val="DEEFB59C"/>
    <w:rsid w:val="FEFDB5E0"/>
    <w:rsid w:val="FFFEE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200" w:firstLineChars="200"/>
    </w:p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8</Pages>
  <Words>549</Words>
  <Characters>3132</Characters>
  <Lines>26</Lines>
  <Paragraphs>7</Paragraphs>
  <TotalTime>132</TotalTime>
  <ScaleCrop>false</ScaleCrop>
  <LinksUpToDate>false</LinksUpToDate>
  <CharactersWithSpaces>3674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2023-01-12T01:12:00Z</dcterms:created>
  <dc:creator>Administrator</dc:creator>
  <cp:lastModifiedBy>Administrator</cp:lastModifiedBy>
  <cp:lastPrinted>2025-02-12T00:32:00Z</cp:lastPrinted>
  <dcterms:modified xsi:type="dcterms:W3CDTF">2025-09-11T06:51:09Z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