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第一中西医结合医院</w:t>
      </w:r>
    </w:p>
    <w:p>
      <w:pPr>
        <w:jc w:val="center"/>
        <w:rPr>
          <w:rStyle w:val="4"/>
          <w:rFonts w:hint="eastAsia" w:cs="宋体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部门整体支出绩效评价报告</w:t>
      </w:r>
    </w:p>
    <w:bookmarkEnd w:id="1"/>
    <w:p>
      <w:pPr>
        <w:pStyle w:val="2"/>
        <w:widowControl/>
        <w:ind w:right="60"/>
        <w:jc w:val="both"/>
        <w:rPr>
          <w:rFonts w:hint="eastAsia" w:cs="宋体"/>
          <w:b/>
          <w:shd w:val="clear" w:color="auto" w:fill="FFFFFF"/>
        </w:rPr>
      </w:pPr>
      <w:r>
        <w:rPr>
          <w:rStyle w:val="4"/>
          <w:rFonts w:hint="eastAsia" w:cs="宋体"/>
          <w:shd w:val="clear" w:color="auto" w:fill="FFFFFF"/>
        </w:rPr>
        <w:t>一、</w:t>
      </w:r>
      <w:r>
        <w:rPr>
          <w:rFonts w:hint="eastAsia" w:ascii="宋体" w:hAnsi="宋体" w:cs="黑体"/>
          <w:bCs/>
          <w:color w:val="000000"/>
        </w:rPr>
        <w:t>基本情况</w:t>
      </w:r>
    </w:p>
    <w:p>
      <w:pPr>
        <w:spacing w:line="360" w:lineRule="auto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（一）项目概况</w:t>
      </w:r>
    </w:p>
    <w:p>
      <w:pPr>
        <w:pStyle w:val="6"/>
        <w:tabs>
          <w:tab w:val="left" w:pos="1676"/>
        </w:tabs>
        <w:spacing w:line="360" w:lineRule="auto"/>
        <w:ind w:firstLine="480" w:firstLineChars="200"/>
        <w:jc w:val="left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根据政府采购的相关规定，结合我院发展情况，满足临床实际工作需求，经对设备的准入、价格、参数论证，设备委员会讨论、院长办公会和党委会通过，我院确定提前下达2021年医疗服务与保障能力提升（公立医院综合改革）补助直达资金（88.8万）用于采购医疗设备，需求为眩晕症诊断仪1台、全自动粪便分析仪2台、全自动酶联免疫分析仪1台、心电图机1台、循环增强型免疫分析仪2台、床旁监护仪2台、计算机认知功能矫正系统1台，并上报区卫健委和区财政局审批。以上项目预算合计107万元，其中财政资金88.8万元，其余使用医院自有资金。实际中标金额103.3万元。所有设备均完成安装验收、调试及培训工作，并已投入临床使用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（二）项目绩效目标</w:t>
      </w:r>
    </w:p>
    <w:p>
      <w:pPr>
        <w:spacing w:line="360" w:lineRule="auto"/>
        <w:outlineLvl w:val="0"/>
        <w:rPr>
          <w:rFonts w:hint="eastAsia" w:ascii="宋体" w:hAnsi="宋体" w:cs="仿宋"/>
          <w:sz w:val="24"/>
          <w:lang w:bidi="zh-TW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项目年度目标：</w:t>
      </w:r>
      <w:r>
        <w:rPr>
          <w:rFonts w:hint="eastAsia" w:ascii="宋体" w:hAnsi="宋体" w:cs="仿宋"/>
          <w:sz w:val="24"/>
          <w:lang w:bidi="zh-TW"/>
        </w:rPr>
        <w:t>完成设备安装、调试及培训工作，并投入临床使用。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项目总目标：满足临床工作需要，提高临床诊断水平，提升医院医疗服务能力和保障能力，提升患者就医满意度。</w:t>
      </w:r>
    </w:p>
    <w:p>
      <w:p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二、绩效评价工作开展情况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（一）绩效评价目的、对象和范围。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本项目主要用于购置医院临床工作所需医疗设备，设备到位后，可满足检验科、脑病科、精神心理科等科室的工作需求，提高临床诊断水平，提升患者就医满意度。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绩效评价原则、评价指标体系、评价方法、评价标准等。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绩效评价原则：满足患者诊治需求，先进性与适用性相结合，事前评价、事后监督原则。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按照财政局关于财政资金预算绩效管理工作的相关要求，我院根据自身的实际情况细化了绩效评价项目的各项指标，做到科学量化，便于实施。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产出方面：主要体现公立医院门急诊人次、三级公立医院出院患者四级手术比例、公立医院平均住院日、项目计划完成时间等。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效益方面：主要体现医疗服务收入（不含药品、耗材、检查、化验收入）占公立医院医疗收入比例、公立医院每门急诊人次平均收费水平增长比例、公立医院出院者平均医疗费用增长比例、三级公立医院万元收入能耗支出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满意度方面：主要包含患者满意度。</w:t>
      </w:r>
    </w:p>
    <w:p>
      <w:pPr>
        <w:spacing w:line="360" w:lineRule="auto"/>
        <w:ind w:firstLine="480" w:firstLineChars="200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通过数据收集、查阅材料、现场调查等方式，经汇总分析后，从产出、效益、满意度三大方面细化后的三级指标全面反映项目绩效情况。</w:t>
      </w:r>
    </w:p>
    <w:p>
      <w:pPr>
        <w:numPr>
          <w:ilvl w:val="0"/>
          <w:numId w:val="1"/>
        </w:num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绩效评价工作过程。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数据资料收集：通过医院HIS系统提取及现场考察。</w:t>
      </w:r>
    </w:p>
    <w:p>
      <w:pPr>
        <w:numPr>
          <w:ilvl w:val="0"/>
          <w:numId w:val="2"/>
        </w:num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评价组织实施过程：（1）明确各部门管理职责（2）设备现状分析（3）设备使用分析评价</w:t>
      </w:r>
    </w:p>
    <w:p>
      <w:pPr>
        <w:numPr>
          <w:ilvl w:val="0"/>
          <w:numId w:val="3"/>
        </w:num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综合评价情况及评价结论</w:t>
      </w:r>
    </w:p>
    <w:p>
      <w:pPr>
        <w:pStyle w:val="6"/>
        <w:tabs>
          <w:tab w:val="left" w:pos="1676"/>
        </w:tabs>
        <w:spacing w:line="360" w:lineRule="auto"/>
        <w:ind w:firstLine="480" w:firstLineChars="200"/>
        <w:jc w:val="left"/>
        <w:rPr>
          <w:rFonts w:hint="eastAsia" w:cs="仿宋"/>
          <w:sz w:val="24"/>
          <w:lang w:val="en-US" w:eastAsia="zh-CN"/>
        </w:rPr>
      </w:pPr>
      <w:r>
        <w:rPr>
          <w:rFonts w:hint="eastAsia" w:cs="仿宋"/>
          <w:sz w:val="24"/>
          <w:lang w:val="en-US" w:eastAsia="zh-CN"/>
        </w:rPr>
        <w:t>2021年医疗卫生专用设备购置项目7项，预算金额107万元，其中使用提前下达2021年医疗服务与保障能力提升（公立医院综合改革）补助直达资金88.8万元，其余使用自有资金。实际中标金额103.3万元。所有设备均完成安装验收、调试及培训工作，并已投入临床使用。</w:t>
      </w:r>
    </w:p>
    <w:p>
      <w:p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四、绩效评价指标分析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（一）项目决策情况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仿宋_GB2312"/>
          <w:sz w:val="24"/>
        </w:rPr>
        <w:t>医院各科室临床主任根据本科室人、财、物等基础条件实际情况，提出</w:t>
      </w:r>
      <w:r>
        <w:rPr>
          <w:rFonts w:ascii="宋体" w:hAnsi="宋体" w:cs="仿宋_GB2312"/>
          <w:sz w:val="24"/>
        </w:rPr>
        <w:t>20</w:t>
      </w:r>
      <w:r>
        <w:rPr>
          <w:rFonts w:hint="eastAsia" w:ascii="宋体" w:hAnsi="宋体" w:cs="仿宋_GB2312"/>
          <w:sz w:val="24"/>
        </w:rPr>
        <w:t>21年医疗卫生专用设备购置预算，递交设备科汇总，由设备科组织召开医疗设备委员会，专家论证会，提交院长办公会及党委会讨论通过后上报区卫健委和区财政局。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（二）项目过程情况</w:t>
      </w:r>
    </w:p>
    <w:p>
      <w:pPr>
        <w:pStyle w:val="6"/>
        <w:tabs>
          <w:tab w:val="left" w:pos="1676"/>
        </w:tabs>
        <w:spacing w:line="360" w:lineRule="auto"/>
        <w:ind w:firstLine="480" w:firstLineChars="200"/>
        <w:jc w:val="left"/>
        <w:rPr>
          <w:rFonts w:hint="eastAsia" w:cs="仿宋_GB2312"/>
          <w:sz w:val="24"/>
          <w:lang w:val="en-US" w:eastAsia="zh-CN" w:bidi="ar-SA"/>
        </w:rPr>
      </w:pPr>
      <w:r>
        <w:rPr>
          <w:rFonts w:hint="eastAsia" w:cs="仿宋_GB2312"/>
          <w:sz w:val="24"/>
          <w:lang w:val="en-US" w:eastAsia="zh-CN" w:bidi="ar-SA"/>
        </w:rPr>
        <w:t>经意向公开、采购计划、采购立项、公开招标等相关政府采购流程，2021年医疗卫生专用设备购置项目共7项，其中眩晕症诊断仪预算32万元，中标价28.8万元；全自动粪便分析仪（2台）预算18万元，中标价17.8万元；全自动酶联免疫分析仪预算17.5万元，中标价17.3万元；心电图预算4.5万元，中标价4.5万元；循环增强型免疫分析仪（2台）预算10万元，中标价10万元；床旁监护仪（2台）预算7万元，中标价7万元；计算机认知功能矫正系统预算18万元，中标价17.9万元；合计103.3万元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（三）项目产出情况</w:t>
      </w:r>
    </w:p>
    <w:p>
      <w:pPr>
        <w:spacing w:line="360" w:lineRule="auto"/>
        <w:outlineLvl w:val="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 xml:space="preserve">     </w:t>
      </w:r>
      <w:r>
        <w:rPr>
          <w:rFonts w:hint="eastAsia" w:ascii="宋体" w:hAnsi="宋体" w:cs="仿宋_GB2312"/>
          <w:sz w:val="24"/>
        </w:rPr>
        <w:t>已完成所有计划购置设备的采购、安装及验收，项目成本控制在预算以内，相关配套设施到位，已投入临床使用。</w:t>
      </w:r>
    </w:p>
    <w:p>
      <w:pPr>
        <w:spacing w:line="360" w:lineRule="auto"/>
        <w:outlineLvl w:val="0"/>
        <w:rPr>
          <w:rFonts w:hint="eastAsia" w:ascii="宋体" w:hAnsi="宋体" w:cs="仿宋_GB2312"/>
          <w:color w:val="000000"/>
          <w:kern w:val="0"/>
          <w:sz w:val="24"/>
        </w:rPr>
      </w:pPr>
      <w:r>
        <w:rPr>
          <w:rFonts w:hint="eastAsia" w:ascii="宋体" w:hAnsi="宋体" w:cs="仿宋_GB2312"/>
          <w:color w:val="000000"/>
          <w:kern w:val="0"/>
          <w:sz w:val="24"/>
        </w:rPr>
        <w:t>（四）项目效益情况</w:t>
      </w:r>
    </w:p>
    <w:p>
      <w:pPr>
        <w:pStyle w:val="2"/>
        <w:widowControl/>
        <w:spacing w:before="0" w:beforeAutospacing="0" w:after="0" w:afterAutospacing="0" w:line="360" w:lineRule="auto"/>
        <w:ind w:firstLine="420"/>
        <w:jc w:val="both"/>
        <w:rPr>
          <w:rFonts w:ascii="宋体" w:hAnsi="宋体" w:cs="仿宋_GB2312"/>
          <w:color w:val="000000"/>
        </w:rPr>
      </w:pPr>
      <w:r>
        <w:rPr>
          <w:rFonts w:hint="eastAsia" w:ascii="宋体" w:hAnsi="宋体" w:cs="仿宋_GB2312"/>
          <w:color w:val="000000"/>
        </w:rPr>
        <w:t xml:space="preserve"> </w:t>
      </w:r>
      <w:r>
        <w:rPr>
          <w:rFonts w:hint="eastAsia" w:ascii="宋体" w:hAnsi="宋体" w:cs="仿宋"/>
          <w:kern w:val="2"/>
          <w:lang w:bidi="zh-TW"/>
        </w:rPr>
        <w:t>根据专项绩效评定指标对各项目量化评价，同时将项目完成的实际状况与项目申报的绩效目标进行对比分析，基本完成年度目标。</w:t>
      </w:r>
    </w:p>
    <w:p>
      <w:p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五、主要经验及做法、存在的问题及原因分析</w:t>
      </w:r>
    </w:p>
    <w:p>
      <w:pPr>
        <w:spacing w:line="360" w:lineRule="auto"/>
        <w:outlineLvl w:val="0"/>
        <w:rPr>
          <w:rFonts w:hint="eastAsia"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    医院严格遵守政府采购相关制度规定，通过加强领导、完善制度、加强监督检查工作，不断强化预算和项目资金管理，经设备委员会讨论、院长办公会通过以及按照三重一大管理要求提请院党委会审议，确保项目工作规范、有序的开展。后续工作中还应注意各科室之间的沟通，</w:t>
      </w:r>
      <w:bookmarkStart w:id="0" w:name="_Toc169183194"/>
      <w:r>
        <w:rPr>
          <w:rFonts w:hint="eastAsia" w:ascii="宋体" w:hAnsi="宋体" w:cs="仿宋_GB2312"/>
          <w:sz w:val="24"/>
        </w:rPr>
        <w:t>加强对项目进度的控制。</w:t>
      </w:r>
      <w:bookmarkEnd w:id="0"/>
    </w:p>
    <w:p>
      <w:p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六、有关建议</w:t>
      </w:r>
    </w:p>
    <w:p>
      <w:pPr>
        <w:spacing w:line="360" w:lineRule="auto"/>
        <w:rPr>
          <w:rFonts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 xml:space="preserve">    </w:t>
      </w:r>
      <w:r>
        <w:rPr>
          <w:rFonts w:hint="eastAsia" w:ascii="宋体" w:hAnsi="宋体" w:cs="仿宋"/>
          <w:sz w:val="24"/>
        </w:rPr>
        <w:t>无。</w:t>
      </w:r>
    </w:p>
    <w:p>
      <w:pPr>
        <w:spacing w:line="360" w:lineRule="auto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黑体"/>
          <w:bCs/>
          <w:color w:val="000000"/>
          <w:kern w:val="0"/>
          <w:sz w:val="24"/>
        </w:rPr>
        <w:t>七、其他需要说明的问题</w:t>
      </w:r>
    </w:p>
    <w:p>
      <w:pPr>
        <w:spacing w:line="360" w:lineRule="auto"/>
        <w:ind w:firstLine="480" w:firstLineChars="200"/>
        <w:rPr>
          <w:rFonts w:hint="eastAsia" w:ascii="宋体" w:hAnsi="宋体" w:cs="黑体"/>
          <w:bCs/>
          <w:color w:val="000000"/>
          <w:kern w:val="0"/>
          <w:sz w:val="24"/>
        </w:rPr>
      </w:pPr>
      <w:r>
        <w:rPr>
          <w:rFonts w:hint="eastAsia" w:ascii="宋体" w:hAnsi="宋体" w:cs="仿宋"/>
          <w:sz w:val="24"/>
        </w:rPr>
        <w:t>无。</w:t>
      </w:r>
    </w:p>
    <w:p>
      <w:pPr/>
    </w:p>
    <w:p>
      <w:pPr/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</w:t>
      </w:r>
      <w:r>
        <w:rPr>
          <w:rFonts w:hint="eastAsia" w:ascii="宋体" w:hAnsi="宋体"/>
          <w:sz w:val="24"/>
        </w:rPr>
        <w:t>北京市第一中西医结合医院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2022年8月5日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59424534">
    <w:nsid w:val="62E8CF16"/>
    <w:multiLevelType w:val="singleLevel"/>
    <w:tmpl w:val="62E8CF16"/>
    <w:lvl w:ilvl="0" w:tentative="1">
      <w:start w:val="1"/>
      <w:numFmt w:val="decimal"/>
      <w:suff w:val="nothing"/>
      <w:lvlText w:val="%1、"/>
      <w:lvlJc w:val="left"/>
    </w:lvl>
  </w:abstractNum>
  <w:abstractNum w:abstractNumId="1659423992">
    <w:nsid w:val="62E8CCF8"/>
    <w:multiLevelType w:val="singleLevel"/>
    <w:tmpl w:val="62E8CCF8"/>
    <w:lvl w:ilvl="0" w:tentative="1">
      <w:start w:val="2"/>
      <w:numFmt w:val="chineseCounting"/>
      <w:suff w:val="nothing"/>
      <w:lvlText w:val="（%1）"/>
      <w:lvlJc w:val="left"/>
    </w:lvl>
  </w:abstractNum>
  <w:abstractNum w:abstractNumId="1659424590">
    <w:nsid w:val="62E8CF4E"/>
    <w:multiLevelType w:val="singleLevel"/>
    <w:tmpl w:val="62E8CF4E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659423992"/>
  </w:num>
  <w:num w:numId="2">
    <w:abstractNumId w:val="1659424534"/>
  </w:num>
  <w:num w:numId="3">
    <w:abstractNumId w:val="165942459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05DD7"/>
    <w:rsid w:val="7B105D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paragraph" w:customStyle="1" w:styleId="6">
    <w:name w:val="Body text|2"/>
    <w:basedOn w:val="1"/>
    <w:qFormat/>
    <w:uiPriority w:val="0"/>
    <w:pPr>
      <w:spacing w:line="590" w:lineRule="exact"/>
      <w:ind w:firstLine="580"/>
    </w:pPr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2022-09-15T07:06:00Z</dcterms:created>
  <dc:creator>Administrator</dc:creator>
  <cp:lastModifiedBy>Administrator</cp:lastModifiedBy>
  <dcterms:modified xsi:type="dcterms:W3CDTF">2022-09-15T07:08:52Z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