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BF62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Times New Roman"/>
          <w:color w:val="000000"/>
          <w:sz w:val="44"/>
          <w:szCs w:val="44"/>
          <w:highlight w:val="none"/>
        </w:rPr>
      </w:pPr>
      <w:bookmarkStart w:id="0" w:name="_Toc23302"/>
      <w:bookmarkStart w:id="1" w:name="_Toc14519"/>
      <w:bookmarkStart w:id="2" w:name="_Toc15791"/>
      <w:bookmarkStart w:id="3" w:name="_Toc1603"/>
      <w:bookmarkStart w:id="4" w:name="_Toc269"/>
      <w:bookmarkStart w:id="5" w:name="_Toc12485"/>
      <w:bookmarkStart w:id="6" w:name="_Toc2548"/>
      <w:bookmarkStart w:id="7" w:name="_Toc2493"/>
      <w:bookmarkStart w:id="8" w:name="_Toc23945"/>
      <w:bookmarkStart w:id="9" w:name="_Toc4528"/>
      <w:bookmarkStart w:id="10" w:name="_Toc13590"/>
      <w:bookmarkStart w:id="11" w:name="_Toc30588"/>
      <w:bookmarkStart w:id="12" w:name="_Toc11840"/>
      <w:bookmarkStart w:id="13" w:name="_Toc2055780940_WPSOffice_Level1"/>
      <w:bookmarkStart w:id="14" w:name="_Toc24945"/>
      <w:bookmarkStart w:id="15" w:name="_Toc72507451"/>
      <w:bookmarkStart w:id="16" w:name="_Toc437441341"/>
      <w:bookmarkStart w:id="17" w:name="_Toc23125"/>
      <w:bookmarkStart w:id="18" w:name="_Toc440130940"/>
      <w:bookmarkStart w:id="19" w:name="_Toc455514572"/>
      <w:bookmarkStart w:id="20" w:name="_Toc440118996"/>
      <w:bookmarkStart w:id="21" w:name="_Toc423287672"/>
      <w:bookmarkStart w:id="22" w:name="_Toc19974"/>
      <w:bookmarkStart w:id="23" w:name="_Toc72507467"/>
      <w:bookmarkStart w:id="24" w:name="_Toc718968009_WPSOffice_Level2"/>
      <w:r>
        <w:rPr>
          <w:rFonts w:hint="eastAsia" w:ascii="Times New Roman" w:hAnsi="Times New Roman" w:eastAsia="方正小标宋简体" w:cs="Times New Roman"/>
          <w:color w:val="000000"/>
          <w:sz w:val="44"/>
          <w:szCs w:val="44"/>
          <w:highlight w:val="none"/>
        </w:rPr>
        <w:t>北京市朝阳区“十五五”时期</w:t>
      </w:r>
    </w:p>
    <w:p w14:paraId="0F8C17F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简体" w:cs="Times New Roman"/>
          <w:color w:val="000000"/>
          <w:sz w:val="44"/>
          <w:szCs w:val="44"/>
          <w:highlight w:val="none"/>
        </w:rPr>
      </w:pPr>
      <w:r>
        <w:rPr>
          <w:rFonts w:hint="eastAsia" w:ascii="Times New Roman" w:hAnsi="Times New Roman" w:eastAsia="方正小标宋简体" w:cs="Times New Roman"/>
          <w:color w:val="000000"/>
          <w:sz w:val="44"/>
          <w:szCs w:val="44"/>
          <w:highlight w:val="none"/>
        </w:rPr>
        <w:t>应急</w:t>
      </w:r>
      <w:r>
        <w:rPr>
          <w:rFonts w:hint="eastAsia" w:ascii="Times New Roman" w:hAnsi="Times New Roman" w:eastAsia="方正小标宋简体" w:cs="Times New Roman"/>
          <w:color w:val="000000"/>
          <w:sz w:val="44"/>
          <w:szCs w:val="44"/>
          <w:highlight w:val="none"/>
          <w:lang w:eastAsia="zh-CN"/>
        </w:rPr>
        <w:t>体系</w:t>
      </w:r>
      <w:r>
        <w:rPr>
          <w:rFonts w:hint="eastAsia" w:ascii="Times New Roman" w:hAnsi="Times New Roman" w:eastAsia="方正小标宋简体" w:cs="Times New Roman"/>
          <w:color w:val="000000"/>
          <w:sz w:val="44"/>
          <w:szCs w:val="44"/>
          <w:highlight w:val="none"/>
        </w:rPr>
        <w:t>规划</w:t>
      </w:r>
    </w:p>
    <w:p w14:paraId="4F6DD930">
      <w:pPr>
        <w:pStyle w:val="2"/>
        <w:jc w:val="center"/>
        <w:rPr>
          <w:rFonts w:hint="eastAsia" w:ascii="楷体_GB2312" w:hAnsi="楷体_GB2312" w:eastAsia="楷体_GB2312" w:cs="楷体_GB2312"/>
          <w:lang w:eastAsia="zh-CN"/>
        </w:rPr>
      </w:pPr>
      <w:r>
        <w:rPr>
          <w:rFonts w:hint="eastAsia" w:ascii="楷体_GB2312" w:hAnsi="楷体_GB2312" w:eastAsia="楷体_GB2312" w:cs="楷体_GB2312"/>
          <w:lang w:eastAsia="zh-CN"/>
        </w:rPr>
        <w:t>（征求意见稿）</w:t>
      </w:r>
    </w:p>
    <w:p w14:paraId="0E4D738B">
      <w:pPr>
        <w:rPr>
          <w:rFonts w:hint="eastAsia"/>
          <w:lang w:eastAsia="zh-CN"/>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4434789A">
      <w:pPr>
        <w:pStyle w:val="3"/>
        <w:spacing w:before="0" w:after="0" w:line="560" w:lineRule="exact"/>
        <w:ind w:firstLine="640" w:firstLineChars="200"/>
        <w:rPr>
          <w:rFonts w:hint="default" w:ascii="Times New Roman" w:hAnsi="Times New Roman" w:eastAsia="黑体"/>
          <w:b w:val="0"/>
          <w:color w:val="000000"/>
          <w:kern w:val="0"/>
          <w:sz w:val="32"/>
          <w:szCs w:val="32"/>
          <w:highlight w:val="none"/>
          <w:lang w:val="en-US" w:eastAsia="zh-CN"/>
        </w:rPr>
      </w:pPr>
      <w:bookmarkStart w:id="25" w:name="_Toc8245"/>
      <w:bookmarkStart w:id="26" w:name="_Toc28338"/>
      <w:bookmarkStart w:id="27" w:name="_Toc20407"/>
      <w:bookmarkStart w:id="28" w:name="_Toc16072"/>
      <w:bookmarkStart w:id="29" w:name="_Toc6631"/>
      <w:bookmarkStart w:id="30" w:name="_Toc12745"/>
      <w:bookmarkStart w:id="31" w:name="_Toc11299"/>
      <w:bookmarkStart w:id="32" w:name="_Toc4137"/>
      <w:bookmarkStart w:id="33" w:name="_Toc22401"/>
      <w:bookmarkStart w:id="34" w:name="_Toc23343"/>
      <w:bookmarkStart w:id="35" w:name="_Toc22912"/>
      <w:bookmarkStart w:id="36" w:name="_Toc4969"/>
      <w:bookmarkStart w:id="37" w:name="_Toc475"/>
      <w:bookmarkStart w:id="38" w:name="_Toc26319"/>
      <w:bookmarkStart w:id="39" w:name="_Toc19966"/>
      <w:r>
        <w:rPr>
          <w:rFonts w:hint="eastAsia" w:ascii="Times New Roman" w:hAnsi="Times New Roman" w:eastAsia="黑体"/>
          <w:b w:val="0"/>
          <w:color w:val="000000"/>
          <w:kern w:val="0"/>
          <w:sz w:val="32"/>
          <w:szCs w:val="32"/>
          <w:highlight w:val="none"/>
          <w:lang w:eastAsia="zh-CN"/>
        </w:rPr>
        <w:t>一</w:t>
      </w:r>
      <w:r>
        <w:rPr>
          <w:rFonts w:hint="eastAsia" w:ascii="Times New Roman" w:hAnsi="Times New Roman" w:eastAsia="黑体"/>
          <w:b w:val="0"/>
          <w:color w:val="000000"/>
          <w:kern w:val="0"/>
          <w:sz w:val="32"/>
          <w:szCs w:val="32"/>
          <w:highlight w:val="none"/>
        </w:rPr>
        <w:t>、“十五五”时期</w:t>
      </w:r>
      <w:bookmarkEnd w:id="25"/>
      <w:bookmarkEnd w:id="26"/>
      <w:bookmarkEnd w:id="27"/>
      <w:bookmarkEnd w:id="28"/>
      <w:bookmarkEnd w:id="29"/>
      <w:bookmarkEnd w:id="30"/>
      <w:bookmarkEnd w:id="31"/>
      <w:bookmarkEnd w:id="32"/>
      <w:bookmarkEnd w:id="33"/>
      <w:bookmarkEnd w:id="34"/>
      <w:r>
        <w:rPr>
          <w:rFonts w:hint="eastAsia" w:ascii="Times New Roman" w:hAnsi="Times New Roman" w:eastAsia="黑体"/>
          <w:b w:val="0"/>
          <w:color w:val="000000"/>
          <w:kern w:val="0"/>
          <w:sz w:val="32"/>
          <w:szCs w:val="32"/>
          <w:highlight w:val="none"/>
          <w:lang w:val="en-US" w:eastAsia="zh-CN"/>
        </w:rPr>
        <w:t>面临形势</w:t>
      </w:r>
      <w:bookmarkEnd w:id="35"/>
      <w:bookmarkEnd w:id="36"/>
      <w:bookmarkEnd w:id="37"/>
      <w:bookmarkEnd w:id="38"/>
      <w:bookmarkEnd w:id="39"/>
    </w:p>
    <w:p w14:paraId="7BFE227D">
      <w:pPr>
        <w:pStyle w:val="8"/>
        <w:spacing w:after="0" w:line="560" w:lineRule="exact"/>
        <w:ind w:firstLine="640"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sz w:val="32"/>
          <w:szCs w:val="32"/>
          <w:highlight w:val="none"/>
        </w:rPr>
        <w:t>“十五五”时期是我国基本实现社会主义现代化承上启下的关键期，也是朝阳区推动高质量发展、“五宜”朝阳建设的冲刺期，也是全面推进朝阳区应急管理体系和能力现代化建设的攻坚期，应急管理工作面临着前所未有的历史机遇。</w:t>
      </w:r>
    </w:p>
    <w:p w14:paraId="07837AE8">
      <w:pPr>
        <w:pStyle w:val="8"/>
        <w:spacing w:after="0"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一是国家层面高度重视，为应急管理发展提供方向指引。</w:t>
      </w:r>
      <w:r>
        <w:rPr>
          <w:rFonts w:hint="eastAsia" w:ascii="Times New Roman" w:hAnsi="Times New Roman" w:eastAsia="仿宋_GB2312" w:cs="Times New Roman"/>
          <w:sz w:val="32"/>
          <w:szCs w:val="32"/>
          <w:highlight w:val="none"/>
        </w:rPr>
        <w:t>国家高度重视应急管理工作，将其纳入国家治理体系和治理能力现代化建设的重要内容。习近平总书记对应急管理作出了一系列重要指示和批示，为应急管理工作提供了明确的方向和目标。党的二十届三中全会指出“完善大安全大应急框架下应急指挥机制，强化基层应急基础和力量，提高防灾减灾救灾能力。”中办、国办印发《关于进一步提升基层应急管理能力的意见》，明确了提升基层应急管理能力的目标任务和工作要求</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共同构成了新时代应急管理建设的重要指导方针。</w:t>
      </w:r>
    </w:p>
    <w:p w14:paraId="45BF0F3C">
      <w:pPr>
        <w:pStyle w:val="8"/>
        <w:spacing w:after="0"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rPr>
        <w:t>二是科技赋能应急管理，为提升应急管理能力提供强大助力。</w:t>
      </w:r>
      <w:r>
        <w:rPr>
          <w:rFonts w:hint="eastAsia" w:ascii="Times New Roman" w:hAnsi="Times New Roman" w:eastAsia="仿宋_GB2312" w:cs="Times New Roman"/>
          <w:sz w:val="32"/>
          <w:szCs w:val="32"/>
          <w:highlight w:val="none"/>
        </w:rPr>
        <w:t>随着大数据、人工智能、物联网等为代表的新一代信息技术的普遍和深度应用，能有效提高应急管理的科学化、专业化、智能化、精细化水平，为风险监测预警、应急指挥调度、救援力量部署等提供了有力支撑。此外，朝阳区城市智慧大脑的深入推进，进一步打通数据赋能，也为应急管理数字化治理提供坚实保障。</w:t>
      </w:r>
    </w:p>
    <w:p w14:paraId="4C683F0C">
      <w:pPr>
        <w:pStyle w:val="8"/>
        <w:spacing w:after="0" w:line="560" w:lineRule="exact"/>
        <w:ind w:firstLine="643"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rPr>
        <w:t>三是社会安全意识不断增强，为构建共建共治共享格局奠定坚实基础。</w:t>
      </w:r>
      <w:r>
        <w:rPr>
          <w:rFonts w:hint="eastAsia" w:ascii="Times New Roman" w:hAnsi="Times New Roman" w:eastAsia="仿宋_GB2312" w:cs="Times New Roman"/>
          <w:sz w:val="32"/>
          <w:szCs w:val="32"/>
          <w:highlight w:val="none"/>
        </w:rPr>
        <w:t>近年来，全社会对安全的重视程度不断提高，公众安全意识和自救互救能力显著增强。朝阳区可以充分利用这一有利条件，加强应急管理宣传教育，普及安全知识和技能，提高公众参与应急管理的积极性和主动性，鼓励社会力量参与应急管理，培育发展社会应急力量，构建政府主导、社会协同、公众参与的共建共治共享应急管理格局。</w:t>
      </w:r>
    </w:p>
    <w:p w14:paraId="30DB9B5C">
      <w:pPr>
        <w:pStyle w:val="3"/>
        <w:spacing w:before="0" w:after="0" w:line="560" w:lineRule="exact"/>
        <w:ind w:firstLine="640" w:firstLineChars="200"/>
        <w:rPr>
          <w:rFonts w:ascii="Times New Roman" w:hAnsi="Times New Roman" w:eastAsia="黑体"/>
          <w:b w:val="0"/>
          <w:color w:val="000000"/>
          <w:kern w:val="0"/>
          <w:sz w:val="32"/>
          <w:szCs w:val="32"/>
          <w:highlight w:val="none"/>
        </w:rPr>
      </w:pPr>
      <w:bookmarkStart w:id="40" w:name="_Toc13718"/>
      <w:bookmarkStart w:id="41" w:name="_Toc25242"/>
      <w:bookmarkStart w:id="42" w:name="_Toc6376"/>
      <w:bookmarkStart w:id="43" w:name="_Toc16958"/>
      <w:bookmarkStart w:id="44" w:name="_Toc10068"/>
      <w:bookmarkStart w:id="45" w:name="_Toc19198"/>
      <w:bookmarkStart w:id="46" w:name="_Toc23513"/>
      <w:bookmarkStart w:id="47" w:name="_Toc30360"/>
      <w:bookmarkStart w:id="48" w:name="_Toc1080"/>
      <w:bookmarkStart w:id="49" w:name="_Toc9431"/>
      <w:bookmarkStart w:id="50" w:name="_Toc32566"/>
      <w:bookmarkStart w:id="51" w:name="_Toc9184"/>
      <w:bookmarkStart w:id="52" w:name="_Toc14688"/>
      <w:bookmarkStart w:id="53" w:name="_Toc4013"/>
      <w:bookmarkStart w:id="54" w:name="_Toc30992"/>
      <w:r>
        <w:rPr>
          <w:rFonts w:hint="eastAsia" w:ascii="Times New Roman" w:hAnsi="Times New Roman" w:eastAsia="黑体"/>
          <w:b w:val="0"/>
          <w:color w:val="000000"/>
          <w:kern w:val="0"/>
          <w:sz w:val="32"/>
          <w:szCs w:val="32"/>
          <w:highlight w:val="none"/>
          <w:lang w:eastAsia="zh-CN"/>
        </w:rPr>
        <w:t>二</w:t>
      </w:r>
      <w:r>
        <w:rPr>
          <w:rFonts w:hint="eastAsia" w:ascii="Times New Roman" w:hAnsi="Times New Roman" w:eastAsia="黑体"/>
          <w:b w:val="0"/>
          <w:color w:val="000000"/>
          <w:kern w:val="0"/>
          <w:sz w:val="32"/>
          <w:szCs w:val="32"/>
          <w:highlight w:val="none"/>
        </w:rPr>
        <w:t>、指导思想和</w:t>
      </w:r>
      <w:r>
        <w:rPr>
          <w:rFonts w:hint="eastAsia" w:ascii="Times New Roman" w:hAnsi="Times New Roman" w:eastAsia="黑体"/>
          <w:b w:val="0"/>
          <w:color w:val="000000"/>
          <w:kern w:val="0"/>
          <w:sz w:val="32"/>
          <w:szCs w:val="32"/>
          <w:highlight w:val="none"/>
          <w:lang w:val="en-US" w:eastAsia="zh-CN"/>
        </w:rPr>
        <w:t>规划</w:t>
      </w:r>
      <w:r>
        <w:rPr>
          <w:rFonts w:hint="eastAsia" w:ascii="Times New Roman" w:hAnsi="Times New Roman" w:eastAsia="黑体"/>
          <w:b w:val="0"/>
          <w:color w:val="000000"/>
          <w:kern w:val="0"/>
          <w:sz w:val="32"/>
          <w:szCs w:val="32"/>
          <w:highlight w:val="none"/>
        </w:rPr>
        <w:t>目标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B0D64E5">
      <w:pPr>
        <w:spacing w:line="560" w:lineRule="exact"/>
        <w:ind w:firstLine="640" w:firstLineChars="200"/>
        <w:outlineLvl w:val="1"/>
        <w:rPr>
          <w:rFonts w:ascii="楷体_GB2312" w:hAnsi="Times New Roman" w:eastAsia="楷体_GB2312" w:cs="Times New Roman"/>
          <w:sz w:val="32"/>
          <w:szCs w:val="32"/>
          <w:highlight w:val="none"/>
        </w:rPr>
      </w:pPr>
      <w:bookmarkStart w:id="55" w:name="_Toc25616"/>
      <w:bookmarkStart w:id="56" w:name="_Toc25067"/>
      <w:bookmarkStart w:id="57" w:name="_Toc20160"/>
      <w:bookmarkStart w:id="58" w:name="_Toc14586"/>
      <w:bookmarkStart w:id="59" w:name="_Toc25603"/>
      <w:bookmarkStart w:id="60" w:name="_Toc21846"/>
      <w:bookmarkStart w:id="61" w:name="_Toc10590"/>
      <w:bookmarkStart w:id="62" w:name="_Toc15164"/>
      <w:bookmarkStart w:id="63" w:name="_Toc17935"/>
      <w:bookmarkStart w:id="64" w:name="_Toc20281"/>
      <w:bookmarkStart w:id="65" w:name="_Toc26066"/>
      <w:bookmarkStart w:id="66" w:name="_Toc10037"/>
      <w:bookmarkStart w:id="67" w:name="_Toc22147"/>
      <w:bookmarkStart w:id="68" w:name="_Toc9399"/>
      <w:bookmarkStart w:id="69" w:name="_Toc193962942"/>
      <w:bookmarkStart w:id="70" w:name="_Toc27672"/>
      <w:r>
        <w:rPr>
          <w:rFonts w:hint="eastAsia" w:ascii="楷体_GB2312" w:hAnsi="Times New Roman" w:eastAsia="楷体_GB2312" w:cs="Times New Roman"/>
          <w:sz w:val="32"/>
          <w:szCs w:val="32"/>
          <w:highlight w:val="none"/>
        </w:rPr>
        <w:t>（一）指导思想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D235349">
      <w:pPr>
        <w:pStyle w:val="8"/>
        <w:spacing w:after="0"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以习近平新时代中国特色社会主义思想为指导，</w:t>
      </w:r>
      <w:r>
        <w:rPr>
          <w:rFonts w:hint="eastAsia" w:ascii="Times New Roman" w:hAnsi="Times New Roman" w:eastAsia="仿宋_GB2312" w:cs="Times New Roman"/>
          <w:sz w:val="32"/>
          <w:szCs w:val="32"/>
          <w:highlight w:val="none"/>
          <w:lang w:val="en-US" w:eastAsia="zh-CN"/>
        </w:rPr>
        <w:t>全面</w:t>
      </w:r>
      <w:r>
        <w:rPr>
          <w:rFonts w:hint="eastAsia" w:ascii="Times New Roman" w:hAnsi="Times New Roman" w:eastAsia="仿宋_GB2312" w:cs="Times New Roman"/>
          <w:sz w:val="32"/>
          <w:szCs w:val="32"/>
          <w:highlight w:val="none"/>
        </w:rPr>
        <w:t>贯彻党的二十大和二十届历次全会精神，深入</w:t>
      </w:r>
      <w:r>
        <w:rPr>
          <w:rFonts w:hint="eastAsia" w:ascii="Times New Roman" w:hAnsi="Times New Roman" w:eastAsia="仿宋_GB2312" w:cs="Times New Roman"/>
          <w:sz w:val="32"/>
          <w:szCs w:val="32"/>
          <w:highlight w:val="none"/>
          <w:lang w:val="en-US" w:eastAsia="zh-CN"/>
        </w:rPr>
        <w:t>落实</w:t>
      </w:r>
      <w:r>
        <w:rPr>
          <w:rFonts w:hint="eastAsia" w:ascii="Times New Roman" w:hAnsi="Times New Roman" w:eastAsia="仿宋_GB2312" w:cs="Times New Roman"/>
          <w:sz w:val="32"/>
          <w:szCs w:val="32"/>
          <w:highlight w:val="none"/>
        </w:rPr>
        <w:t>习近平总书记</w:t>
      </w:r>
      <w:r>
        <w:rPr>
          <w:rFonts w:hint="eastAsia" w:ascii="Times New Roman" w:hAnsi="Times New Roman" w:eastAsia="仿宋_GB2312" w:cs="Times New Roman"/>
          <w:sz w:val="32"/>
          <w:szCs w:val="32"/>
          <w:highlight w:val="none"/>
          <w:lang w:val="en-US" w:eastAsia="zh-CN"/>
        </w:rPr>
        <w:t>对北京特别是对</w:t>
      </w:r>
      <w:r>
        <w:rPr>
          <w:rFonts w:hint="eastAsia" w:ascii="Times New Roman" w:hAnsi="Times New Roman" w:eastAsia="仿宋_GB2312" w:cs="Times New Roman"/>
          <w:sz w:val="32"/>
          <w:szCs w:val="32"/>
          <w:highlight w:val="none"/>
        </w:rPr>
        <w:t>应急管理工作的一系列重要讲话精神，完整准确全面贯彻新发展理念，</w:t>
      </w:r>
      <w:r>
        <w:rPr>
          <w:rFonts w:hint="eastAsia" w:ascii="Times New Roman" w:hAnsi="Times New Roman" w:eastAsia="仿宋_GB2312" w:cs="Times New Roman"/>
          <w:sz w:val="32"/>
          <w:szCs w:val="32"/>
          <w:highlight w:val="none"/>
          <w:lang w:val="en-US" w:eastAsia="zh-CN"/>
        </w:rPr>
        <w:t>坚持稳中求进工作总基调，</w:t>
      </w:r>
      <w:r>
        <w:rPr>
          <w:rFonts w:hint="eastAsia" w:ascii="Times New Roman" w:hAnsi="Times New Roman" w:eastAsia="仿宋_GB2312" w:cs="Times New Roman"/>
          <w:sz w:val="32"/>
          <w:szCs w:val="32"/>
          <w:highlight w:val="none"/>
        </w:rPr>
        <w:t>坚定不移贯彻总体国家安全观，统筹发展和安全，</w:t>
      </w:r>
      <w:r>
        <w:rPr>
          <w:rFonts w:hint="eastAsia" w:ascii="Times New Roman" w:hAnsi="Times New Roman" w:eastAsia="仿宋_GB2312" w:cs="Times New Roman"/>
          <w:sz w:val="32"/>
          <w:szCs w:val="32"/>
          <w:highlight w:val="none"/>
          <w:lang w:val="en-US" w:eastAsia="zh-CN"/>
        </w:rPr>
        <w:t>加强</w:t>
      </w:r>
      <w:r>
        <w:rPr>
          <w:rFonts w:hint="eastAsia" w:ascii="Times New Roman" w:hAnsi="Times New Roman" w:eastAsia="仿宋_GB2312" w:cs="Times New Roman"/>
          <w:sz w:val="32"/>
          <w:szCs w:val="32"/>
          <w:highlight w:val="none"/>
        </w:rPr>
        <w:t>“四个中心”功能建设，提高“四个服务”水平，</w:t>
      </w:r>
      <w:r>
        <w:rPr>
          <w:rFonts w:hint="eastAsia" w:ascii="Times New Roman" w:hAnsi="Times New Roman" w:eastAsia="仿宋_GB2312" w:cs="Times New Roman"/>
          <w:sz w:val="32"/>
          <w:szCs w:val="32"/>
          <w:highlight w:val="none"/>
          <w:lang w:val="en-US" w:eastAsia="zh-CN"/>
        </w:rPr>
        <w:t>系统</w:t>
      </w:r>
      <w:bookmarkStart w:id="71" w:name="OLE_LINK38"/>
      <w:r>
        <w:rPr>
          <w:rFonts w:hint="eastAsia" w:ascii="Times New Roman" w:hAnsi="Times New Roman" w:eastAsia="仿宋_GB2312" w:cs="Times New Roman"/>
          <w:sz w:val="32"/>
          <w:szCs w:val="32"/>
          <w:highlight w:val="none"/>
          <w:lang w:val="en-US" w:eastAsia="zh-CN"/>
        </w:rPr>
        <w:t>推进</w:t>
      </w:r>
      <w:r>
        <w:rPr>
          <w:rFonts w:hint="eastAsia" w:ascii="Times New Roman" w:hAnsi="Times New Roman" w:eastAsia="仿宋_GB2312" w:cs="Times New Roman"/>
          <w:sz w:val="32"/>
          <w:szCs w:val="32"/>
          <w:highlight w:val="none"/>
        </w:rPr>
        <w:t>应急管理体系和能力现代化</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加快构建</w:t>
      </w:r>
      <w:r>
        <w:rPr>
          <w:rFonts w:hint="eastAsia" w:ascii="Times New Roman" w:hAnsi="Times New Roman" w:eastAsia="仿宋_GB2312" w:cs="Times New Roman"/>
          <w:sz w:val="32"/>
          <w:szCs w:val="32"/>
          <w:highlight w:val="none"/>
        </w:rPr>
        <w:t>“大安全大应急”</w:t>
      </w:r>
      <w:r>
        <w:rPr>
          <w:rFonts w:hint="eastAsia" w:ascii="Times New Roman" w:hAnsi="Times New Roman" w:eastAsia="仿宋_GB2312" w:cs="Times New Roman"/>
          <w:sz w:val="32"/>
          <w:szCs w:val="32"/>
          <w:highlight w:val="none"/>
          <w:lang w:val="en-US" w:eastAsia="zh-CN"/>
        </w:rPr>
        <w:t>工作格局</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不断提升</w:t>
      </w:r>
      <w:r>
        <w:rPr>
          <w:rFonts w:hint="eastAsia" w:ascii="Times New Roman" w:hAnsi="Times New Roman" w:eastAsia="仿宋_GB2312" w:cs="Times New Roman"/>
          <w:sz w:val="32"/>
          <w:szCs w:val="32"/>
          <w:highlight w:val="none"/>
        </w:rPr>
        <w:t>社会治理和公共安全治理水平</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持续增强</w:t>
      </w:r>
      <w:r>
        <w:rPr>
          <w:rFonts w:hint="eastAsia" w:ascii="Times New Roman" w:hAnsi="Times New Roman" w:eastAsia="仿宋_GB2312" w:cs="Times New Roman"/>
          <w:sz w:val="32"/>
          <w:szCs w:val="32"/>
          <w:highlight w:val="none"/>
        </w:rPr>
        <w:t>重大安全风险防范化解水平，为建设更高水平的</w:t>
      </w:r>
      <w:r>
        <w:rPr>
          <w:rFonts w:hint="eastAsia" w:ascii="Times New Roman" w:hAnsi="Times New Roman" w:eastAsia="仿宋_GB2312" w:cs="Times New Roman"/>
          <w:sz w:val="32"/>
          <w:szCs w:val="32"/>
          <w:highlight w:val="none"/>
          <w:lang w:val="en-US" w:eastAsia="zh-CN"/>
        </w:rPr>
        <w:t>“五宜”朝阳</w:t>
      </w:r>
      <w:r>
        <w:rPr>
          <w:rFonts w:hint="eastAsia" w:ascii="Times New Roman" w:hAnsi="Times New Roman" w:eastAsia="仿宋_GB2312" w:cs="Times New Roman"/>
          <w:sz w:val="32"/>
          <w:szCs w:val="32"/>
          <w:highlight w:val="none"/>
        </w:rPr>
        <w:t>提供坚实安全保障。</w:t>
      </w:r>
    </w:p>
    <w:bookmarkEnd w:id="71"/>
    <w:p w14:paraId="6EF8E497">
      <w:pPr>
        <w:spacing w:line="560" w:lineRule="exact"/>
        <w:ind w:firstLine="640" w:firstLineChars="200"/>
        <w:outlineLvl w:val="1"/>
        <w:rPr>
          <w:rFonts w:ascii="楷体_GB2312" w:hAnsi="Times New Roman" w:eastAsia="楷体_GB2312" w:cs="Times New Roman"/>
          <w:sz w:val="32"/>
          <w:szCs w:val="32"/>
          <w:highlight w:val="none"/>
        </w:rPr>
      </w:pPr>
      <w:bookmarkStart w:id="72" w:name="_Toc11207"/>
      <w:bookmarkStart w:id="73" w:name="_Toc21716"/>
      <w:bookmarkStart w:id="74" w:name="_Toc19268"/>
      <w:bookmarkStart w:id="75" w:name="_Toc22550"/>
      <w:bookmarkStart w:id="76" w:name="_Toc15648"/>
      <w:bookmarkStart w:id="77" w:name="_Toc14036"/>
      <w:bookmarkStart w:id="78" w:name="_Toc7923"/>
      <w:bookmarkStart w:id="79" w:name="_Toc3956"/>
      <w:bookmarkStart w:id="80" w:name="_Toc31492"/>
      <w:bookmarkStart w:id="81" w:name="_Toc3674"/>
      <w:bookmarkStart w:id="82" w:name="_Toc28300"/>
      <w:bookmarkStart w:id="83" w:name="_Toc5778"/>
      <w:bookmarkStart w:id="84" w:name="_Toc21281"/>
      <w:bookmarkStart w:id="85" w:name="_Toc2609"/>
      <w:bookmarkStart w:id="86" w:name="_Toc193962943"/>
      <w:bookmarkStart w:id="87" w:name="_Toc19975"/>
      <w:bookmarkStart w:id="88" w:name="OLE_LINK37"/>
      <w:bookmarkStart w:id="89" w:name="OLE_LINK36"/>
      <w:r>
        <w:rPr>
          <w:rFonts w:hint="eastAsia" w:ascii="楷体_GB2312" w:hAnsi="Times New Roman" w:eastAsia="楷体_GB2312" w:cs="Times New Roman"/>
          <w:sz w:val="32"/>
          <w:szCs w:val="32"/>
          <w:highlight w:val="none"/>
        </w:rPr>
        <w:t>（二）基本原则</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bookmarkEnd w:id="88"/>
    <w:bookmarkEnd w:id="89"/>
    <w:p w14:paraId="4F661183">
      <w:pPr>
        <w:spacing w:line="560" w:lineRule="exact"/>
        <w:ind w:firstLine="643"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20"/>
          <w:highlight w:val="none"/>
        </w:rPr>
        <w:t>一是坚持改革创新、强基固本。</w:t>
      </w:r>
      <w:r>
        <w:rPr>
          <w:rFonts w:hint="eastAsia" w:ascii="Times New Roman" w:hAnsi="Times New Roman" w:eastAsia="仿宋_GB2312" w:cs="Times New Roman"/>
          <w:sz w:val="32"/>
          <w:szCs w:val="20"/>
          <w:highlight w:val="none"/>
        </w:rPr>
        <w:t>坚持围绕中心、服务大局，锚定</w:t>
      </w:r>
      <w:r>
        <w:rPr>
          <w:rFonts w:hint="eastAsia" w:ascii="Times New Roman" w:hAnsi="Times New Roman" w:eastAsia="仿宋_GB2312" w:cs="Times New Roman"/>
          <w:sz w:val="32"/>
          <w:szCs w:val="32"/>
          <w:highlight w:val="none"/>
        </w:rPr>
        <w:t>大安全大应急框架构建，</w:t>
      </w:r>
      <w:bookmarkStart w:id="90" w:name="OLE_LINK20"/>
      <w:r>
        <w:rPr>
          <w:rFonts w:hint="eastAsia" w:ascii="Times New Roman" w:hAnsi="Times New Roman" w:eastAsia="仿宋_GB2312" w:cs="Times New Roman"/>
          <w:sz w:val="32"/>
          <w:szCs w:val="32"/>
          <w:highlight w:val="none"/>
        </w:rPr>
        <w:t>立足首都中心城区发展需要，突出基层、规范引领，推进应急管理</w:t>
      </w:r>
      <w:bookmarkStart w:id="91" w:name="OLE_LINK39"/>
      <w:bookmarkStart w:id="92" w:name="OLE_LINK40"/>
      <w:r>
        <w:rPr>
          <w:rFonts w:hint="eastAsia" w:ascii="Times New Roman" w:hAnsi="Times New Roman" w:eastAsia="仿宋_GB2312" w:cs="Times New Roman"/>
          <w:sz w:val="32"/>
          <w:szCs w:val="32"/>
          <w:highlight w:val="none"/>
        </w:rPr>
        <w:t>体制机制创新、理论创新、实践创新、文化创新，</w:t>
      </w:r>
      <w:bookmarkEnd w:id="91"/>
      <w:bookmarkEnd w:id="92"/>
      <w:r>
        <w:rPr>
          <w:rFonts w:hint="eastAsia" w:ascii="Times New Roman" w:hAnsi="Times New Roman" w:eastAsia="仿宋_GB2312" w:cs="Times New Roman"/>
          <w:sz w:val="32"/>
          <w:szCs w:val="32"/>
          <w:highlight w:val="none"/>
        </w:rPr>
        <w:t>夯实治理根基。</w:t>
      </w:r>
    </w:p>
    <w:p w14:paraId="1C212BE9">
      <w:pPr>
        <w:pStyle w:val="8"/>
        <w:spacing w:after="0" w:line="560" w:lineRule="exact"/>
        <w:ind w:firstLine="643" w:firstLineChars="200"/>
        <w:rPr>
          <w:rFonts w:ascii="仿宋_GB2312" w:hAnsi="Times New Roman" w:eastAsia="仿宋_GB2312" w:cs="Times New Roman"/>
          <w:sz w:val="32"/>
          <w:szCs w:val="20"/>
          <w:highlight w:val="none"/>
        </w:rPr>
      </w:pPr>
      <w:r>
        <w:rPr>
          <w:rFonts w:hint="eastAsia" w:ascii="Times New Roman" w:hAnsi="Times New Roman" w:eastAsia="仿宋_GB2312" w:cs="Times New Roman"/>
          <w:b/>
          <w:sz w:val="32"/>
          <w:szCs w:val="20"/>
          <w:highlight w:val="none"/>
        </w:rPr>
        <w:t>二是</w:t>
      </w:r>
      <w:bookmarkStart w:id="93" w:name="OLE_LINK44"/>
      <w:bookmarkStart w:id="94" w:name="OLE_LINK45"/>
      <w:r>
        <w:rPr>
          <w:rFonts w:hint="eastAsia" w:ascii="Times New Roman" w:hAnsi="Times New Roman" w:eastAsia="仿宋_GB2312" w:cs="Times New Roman"/>
          <w:b/>
          <w:sz w:val="32"/>
          <w:szCs w:val="20"/>
          <w:highlight w:val="none"/>
        </w:rPr>
        <w:t>坚持以人为本、</w:t>
      </w:r>
      <w:bookmarkEnd w:id="93"/>
      <w:bookmarkEnd w:id="94"/>
      <w:r>
        <w:rPr>
          <w:rFonts w:hint="eastAsia" w:ascii="Times New Roman" w:hAnsi="Times New Roman" w:eastAsia="仿宋_GB2312" w:cs="Times New Roman"/>
          <w:b/>
          <w:sz w:val="32"/>
          <w:szCs w:val="20"/>
          <w:highlight w:val="none"/>
        </w:rPr>
        <w:t>遵循规律。</w:t>
      </w:r>
      <w:r>
        <w:rPr>
          <w:rFonts w:hint="eastAsia" w:ascii="仿宋_GB2312" w:hAnsi="Times New Roman" w:eastAsia="仿宋_GB2312" w:cs="Times New Roman"/>
          <w:sz w:val="32"/>
          <w:szCs w:val="20"/>
          <w:highlight w:val="none"/>
        </w:rPr>
        <w:t>牢固树立以人民为中心的发展思想，注重底线思维和极限思维，</w:t>
      </w:r>
      <w:r>
        <w:rPr>
          <w:rFonts w:hint="eastAsia" w:ascii="Times New Roman" w:hAnsi="Times New Roman" w:eastAsia="仿宋_GB2312" w:cs="Times New Roman"/>
          <w:sz w:val="32"/>
          <w:szCs w:val="32"/>
          <w:highlight w:val="none"/>
        </w:rPr>
        <w:t>统筹好发展和安全两件大事，</w:t>
      </w:r>
      <w:bookmarkStart w:id="95" w:name="OLE_LINK42"/>
      <w:bookmarkStart w:id="96" w:name="OLE_LINK43"/>
      <w:bookmarkStart w:id="97" w:name="OLE_LINK41"/>
      <w:r>
        <w:rPr>
          <w:rFonts w:hint="eastAsia" w:ascii="Times New Roman" w:hAnsi="Times New Roman" w:eastAsia="仿宋_GB2312" w:cs="Times New Roman"/>
          <w:sz w:val="32"/>
          <w:szCs w:val="32"/>
          <w:highlight w:val="none"/>
        </w:rPr>
        <w:t>遵循客观规律，顺应人口和产业集聚规律，切实维护人民生命财产安全和社会大局稳定</w:t>
      </w:r>
      <w:r>
        <w:rPr>
          <w:rFonts w:hint="eastAsia" w:ascii="仿宋_GB2312" w:hAnsi="Times New Roman" w:eastAsia="仿宋_GB2312" w:cs="Times New Roman"/>
          <w:sz w:val="32"/>
          <w:szCs w:val="20"/>
          <w:highlight w:val="none"/>
        </w:rPr>
        <w:t>。</w:t>
      </w:r>
    </w:p>
    <w:bookmarkEnd w:id="90"/>
    <w:bookmarkEnd w:id="95"/>
    <w:bookmarkEnd w:id="96"/>
    <w:bookmarkEnd w:id="97"/>
    <w:p w14:paraId="514BE415">
      <w:pPr>
        <w:spacing w:line="560" w:lineRule="exact"/>
        <w:ind w:firstLine="643" w:firstLineChars="200"/>
        <w:rPr>
          <w:rFonts w:ascii="Times New Roman" w:hAnsi="Times New Roman" w:eastAsia="仿宋_GB2312" w:cs="Times New Roman"/>
          <w:sz w:val="32"/>
          <w:szCs w:val="20"/>
          <w:highlight w:val="none"/>
        </w:rPr>
      </w:pPr>
      <w:bookmarkStart w:id="98" w:name="OLE_LINK19"/>
      <w:bookmarkStart w:id="99" w:name="OLE_LINK17"/>
      <w:bookmarkStart w:id="100" w:name="OLE_LINK18"/>
      <w:r>
        <w:rPr>
          <w:rFonts w:hint="eastAsia" w:ascii="Times New Roman" w:hAnsi="Times New Roman" w:eastAsia="仿宋_GB2312" w:cs="Times New Roman"/>
          <w:b/>
          <w:sz w:val="32"/>
          <w:szCs w:val="20"/>
          <w:highlight w:val="none"/>
        </w:rPr>
        <w:t>三是</w:t>
      </w:r>
      <w:bookmarkStart w:id="101" w:name="OLE_LINK31"/>
      <w:bookmarkStart w:id="102" w:name="OLE_LINK30"/>
      <w:r>
        <w:rPr>
          <w:rFonts w:hint="eastAsia" w:ascii="Times New Roman" w:hAnsi="Times New Roman" w:eastAsia="仿宋_GB2312" w:cs="Times New Roman"/>
          <w:b/>
          <w:sz w:val="32"/>
          <w:szCs w:val="20"/>
          <w:highlight w:val="none"/>
        </w:rPr>
        <w:t>坚持数智赋能、</w:t>
      </w:r>
      <w:bookmarkEnd w:id="101"/>
      <w:bookmarkEnd w:id="102"/>
      <w:r>
        <w:rPr>
          <w:rFonts w:hint="eastAsia" w:ascii="Times New Roman" w:hAnsi="Times New Roman" w:eastAsia="仿宋_GB2312" w:cs="Times New Roman"/>
          <w:b/>
          <w:sz w:val="32"/>
          <w:szCs w:val="20"/>
          <w:highlight w:val="none"/>
        </w:rPr>
        <w:t>科学防治。</w:t>
      </w:r>
      <w:r>
        <w:rPr>
          <w:rFonts w:hint="eastAsia" w:ascii="Times New Roman" w:hAnsi="Times New Roman" w:eastAsia="仿宋_GB2312" w:cs="Times New Roman"/>
          <w:sz w:val="32"/>
          <w:szCs w:val="20"/>
          <w:highlight w:val="none"/>
        </w:rPr>
        <w:t>以数字化变革为引领，</w:t>
      </w:r>
      <w:bookmarkEnd w:id="98"/>
      <w:bookmarkEnd w:id="99"/>
      <w:bookmarkEnd w:id="100"/>
      <w:r>
        <w:rPr>
          <w:rFonts w:hint="eastAsia" w:ascii="Times New Roman" w:hAnsi="Times New Roman" w:eastAsia="仿宋_GB2312" w:cs="Times New Roman"/>
          <w:sz w:val="32"/>
          <w:szCs w:val="20"/>
          <w:highlight w:val="none"/>
        </w:rPr>
        <w:t>充分利用智慧应急建设成果和城市智慧大脑基础平台，强化源头管控、注重关口前移，提升风险防范化解精准度，重塑应急管理科技支撑体系建设。</w:t>
      </w:r>
    </w:p>
    <w:p w14:paraId="12ABE2AD">
      <w:pPr>
        <w:spacing w:line="560" w:lineRule="exact"/>
        <w:ind w:firstLine="643" w:firstLineChars="200"/>
        <w:rPr>
          <w:rFonts w:ascii="Times New Roman" w:hAnsi="Times New Roman" w:eastAsia="仿宋_GB2312" w:cs="Times New Roman"/>
          <w:sz w:val="32"/>
          <w:szCs w:val="20"/>
          <w:highlight w:val="none"/>
        </w:rPr>
      </w:pPr>
      <w:bookmarkStart w:id="103" w:name="OLE_LINK32"/>
      <w:bookmarkStart w:id="104" w:name="OLE_LINK33"/>
      <w:r>
        <w:rPr>
          <w:rFonts w:hint="eastAsia" w:ascii="Times New Roman" w:hAnsi="Times New Roman" w:eastAsia="仿宋_GB2312" w:cs="Times New Roman"/>
          <w:b/>
          <w:sz w:val="32"/>
          <w:szCs w:val="20"/>
          <w:highlight w:val="none"/>
        </w:rPr>
        <w:t>四是</w:t>
      </w:r>
      <w:bookmarkStart w:id="105" w:name="OLE_LINK29"/>
      <w:bookmarkStart w:id="106" w:name="OLE_LINK28"/>
      <w:r>
        <w:rPr>
          <w:rFonts w:hint="eastAsia" w:ascii="Times New Roman" w:hAnsi="Times New Roman" w:eastAsia="仿宋_GB2312" w:cs="Times New Roman"/>
          <w:b/>
          <w:sz w:val="32"/>
          <w:szCs w:val="20"/>
          <w:highlight w:val="none"/>
        </w:rPr>
        <w:t>坚持系统协同、</w:t>
      </w:r>
      <w:bookmarkEnd w:id="105"/>
      <w:bookmarkEnd w:id="106"/>
      <w:bookmarkStart w:id="107" w:name="OLE_LINK27"/>
      <w:bookmarkStart w:id="108" w:name="OLE_LINK26"/>
      <w:r>
        <w:rPr>
          <w:rFonts w:hint="eastAsia" w:ascii="Times New Roman" w:hAnsi="Times New Roman" w:eastAsia="仿宋_GB2312" w:cs="Times New Roman"/>
          <w:b/>
          <w:sz w:val="32"/>
          <w:szCs w:val="20"/>
          <w:highlight w:val="none"/>
        </w:rPr>
        <w:t>韧性支撑</w:t>
      </w:r>
      <w:bookmarkEnd w:id="107"/>
      <w:bookmarkEnd w:id="108"/>
      <w:r>
        <w:rPr>
          <w:rFonts w:hint="eastAsia" w:ascii="Times New Roman" w:hAnsi="Times New Roman" w:eastAsia="仿宋_GB2312" w:cs="Times New Roman"/>
          <w:b/>
          <w:sz w:val="32"/>
          <w:szCs w:val="20"/>
          <w:highlight w:val="none"/>
        </w:rPr>
        <w:t>。</w:t>
      </w:r>
      <w:r>
        <w:rPr>
          <w:rFonts w:hint="eastAsia" w:ascii="Times New Roman" w:hAnsi="Times New Roman" w:eastAsia="仿宋_GB2312" w:cs="Times New Roman"/>
          <w:sz w:val="32"/>
          <w:szCs w:val="20"/>
          <w:highlight w:val="none"/>
        </w:rPr>
        <w:t>加强谋划的全局性、系统性，</w:t>
      </w:r>
      <w:bookmarkStart w:id="109" w:name="OLE_LINK47"/>
      <w:bookmarkStart w:id="110" w:name="OLE_LINK46"/>
      <w:r>
        <w:rPr>
          <w:rFonts w:hint="eastAsia" w:ascii="Times New Roman" w:hAnsi="Times New Roman" w:eastAsia="仿宋_GB2312" w:cs="Times New Roman"/>
          <w:sz w:val="32"/>
          <w:szCs w:val="20"/>
          <w:highlight w:val="none"/>
        </w:rPr>
        <w:t>加强多方联动、政企合作、政社协同、</w:t>
      </w:r>
      <w:bookmarkEnd w:id="109"/>
      <w:bookmarkEnd w:id="110"/>
      <w:r>
        <w:rPr>
          <w:rFonts w:hint="eastAsia" w:ascii="Times New Roman" w:hAnsi="Times New Roman" w:eastAsia="仿宋_GB2312" w:cs="Times New Roman"/>
          <w:sz w:val="32"/>
          <w:szCs w:val="20"/>
          <w:highlight w:val="none"/>
        </w:rPr>
        <w:t>区域协作</w:t>
      </w:r>
      <w:r>
        <w:rPr>
          <w:rFonts w:hint="eastAsia" w:ascii="Times New Roman" w:hAnsi="Times New Roman" w:eastAsia="仿宋_GB2312" w:cs="Times New Roman"/>
          <w:sz w:val="32"/>
          <w:szCs w:val="32"/>
          <w:highlight w:val="none"/>
        </w:rPr>
        <w:t>，</w:t>
      </w:r>
      <w:bookmarkEnd w:id="103"/>
      <w:bookmarkEnd w:id="104"/>
      <w:r>
        <w:rPr>
          <w:rFonts w:hint="eastAsia" w:ascii="Times New Roman" w:hAnsi="Times New Roman" w:eastAsia="仿宋_GB2312" w:cs="Times New Roman"/>
          <w:sz w:val="32"/>
          <w:szCs w:val="32"/>
          <w:highlight w:val="none"/>
        </w:rPr>
        <w:t>补齐发展短板，</w:t>
      </w:r>
      <w:r>
        <w:rPr>
          <w:rFonts w:ascii="Times New Roman" w:hAnsi="Times New Roman" w:eastAsia="仿宋_GB2312" w:cs="Times New Roman"/>
          <w:sz w:val="32"/>
          <w:szCs w:val="32"/>
          <w:highlight w:val="none"/>
        </w:rPr>
        <w:t>加强韧性城市建设</w:t>
      </w:r>
      <w:r>
        <w:rPr>
          <w:rFonts w:hint="eastAsia" w:ascii="Times New Roman" w:hAnsi="Times New Roman" w:eastAsia="仿宋_GB2312" w:cs="Times New Roman"/>
          <w:sz w:val="32"/>
          <w:szCs w:val="32"/>
          <w:highlight w:val="none"/>
        </w:rPr>
        <w:t>，确保城市运行平稳、风险可控、恢复快速。</w:t>
      </w:r>
    </w:p>
    <w:p w14:paraId="24A25B88">
      <w:pPr>
        <w:spacing w:line="560" w:lineRule="exact"/>
        <w:ind w:firstLine="640" w:firstLineChars="200"/>
        <w:outlineLvl w:val="1"/>
        <w:rPr>
          <w:rFonts w:ascii="楷体_GB2312" w:hAnsi="Times New Roman" w:eastAsia="楷体_GB2312" w:cs="Times New Roman"/>
          <w:sz w:val="32"/>
          <w:szCs w:val="32"/>
          <w:highlight w:val="none"/>
        </w:rPr>
      </w:pPr>
      <w:bookmarkStart w:id="111" w:name="_Toc8768"/>
      <w:bookmarkStart w:id="112" w:name="_Toc12695"/>
      <w:bookmarkStart w:id="113" w:name="_Toc29225"/>
      <w:bookmarkStart w:id="114" w:name="_Toc193962944"/>
      <w:bookmarkStart w:id="115" w:name="_Toc8837"/>
      <w:bookmarkStart w:id="116" w:name="_Toc3970"/>
      <w:bookmarkStart w:id="117" w:name="_Toc13569"/>
      <w:bookmarkStart w:id="118" w:name="_Toc25717"/>
      <w:bookmarkStart w:id="119" w:name="_Toc29967"/>
      <w:bookmarkStart w:id="120" w:name="_Toc12647"/>
      <w:bookmarkStart w:id="121" w:name="_Toc8189"/>
      <w:bookmarkStart w:id="122" w:name="_Toc25769"/>
      <w:bookmarkStart w:id="123" w:name="_Toc17241"/>
      <w:bookmarkStart w:id="124" w:name="_Toc3180"/>
      <w:bookmarkStart w:id="125" w:name="_Toc28968"/>
      <w:bookmarkStart w:id="126" w:name="_Toc13682"/>
      <w:r>
        <w:rPr>
          <w:rFonts w:hint="eastAsia" w:ascii="楷体_GB2312" w:hAnsi="Times New Roman" w:eastAsia="楷体_GB2312" w:cs="Times New Roman"/>
          <w:sz w:val="32"/>
          <w:szCs w:val="32"/>
          <w:highlight w:val="none"/>
        </w:rPr>
        <w:t>（三）规划目标</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4CFC3FE">
      <w:pPr>
        <w:pStyle w:val="8"/>
        <w:spacing w:after="0"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到2</w:t>
      </w:r>
      <w:r>
        <w:rPr>
          <w:rFonts w:ascii="Times New Roman" w:hAnsi="Times New Roman" w:eastAsia="仿宋_GB2312" w:cs="Times New Roman"/>
          <w:sz w:val="32"/>
          <w:szCs w:val="32"/>
          <w:highlight w:val="none"/>
        </w:rPr>
        <w:t>030</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具有朝阳特色的</w:t>
      </w:r>
      <w:r>
        <w:rPr>
          <w:rFonts w:hint="eastAsia" w:ascii="Times New Roman" w:hAnsi="Times New Roman" w:eastAsia="仿宋_GB2312" w:cs="Times New Roman"/>
          <w:sz w:val="32"/>
          <w:szCs w:val="32"/>
          <w:highlight w:val="none"/>
        </w:rPr>
        <w:t>大安全大应急框架</w:t>
      </w:r>
      <w:r>
        <w:rPr>
          <w:rFonts w:hint="eastAsia" w:ascii="Times New Roman" w:hAnsi="Times New Roman" w:eastAsia="仿宋_GB2312" w:cs="Times New Roman"/>
          <w:sz w:val="32"/>
          <w:szCs w:val="32"/>
          <w:highlight w:val="none"/>
          <w:lang w:val="en-US" w:eastAsia="zh-CN"/>
        </w:rPr>
        <w:t>逐步完善，基本形成</w:t>
      </w:r>
      <w:r>
        <w:rPr>
          <w:rFonts w:hint="eastAsia" w:ascii="Times New Roman" w:hAnsi="Times New Roman" w:eastAsia="仿宋_GB2312" w:cs="Times New Roman"/>
          <w:sz w:val="32"/>
          <w:szCs w:val="32"/>
          <w:highlight w:val="none"/>
        </w:rPr>
        <w:t>统一指挥、上下联动、专常兼备、平战结合的现代化应急管理体系</w:t>
      </w:r>
      <w:r>
        <w:rPr>
          <w:rFonts w:hint="eastAsia" w:ascii="Times New Roman" w:hAnsi="Times New Roman" w:eastAsia="仿宋_GB2312" w:cs="Times New Roman"/>
          <w:sz w:val="32"/>
          <w:szCs w:val="32"/>
          <w:highlight w:val="none"/>
          <w:lang w:val="en-US" w:eastAsia="zh-CN"/>
        </w:rPr>
        <w:t>，实现应急管理工作的</w:t>
      </w:r>
      <w:r>
        <w:rPr>
          <w:rFonts w:hint="eastAsia" w:ascii="Times New Roman" w:hAnsi="Times New Roman" w:eastAsia="仿宋_GB2312" w:cs="Times New Roman"/>
          <w:sz w:val="32"/>
          <w:szCs w:val="32"/>
          <w:highlight w:val="none"/>
        </w:rPr>
        <w:t>系统化、规范化、智慧化水平</w:t>
      </w:r>
      <w:r>
        <w:rPr>
          <w:rFonts w:hint="eastAsia" w:ascii="Times New Roman" w:hAnsi="Times New Roman" w:eastAsia="仿宋_GB2312" w:cs="Times New Roman"/>
          <w:sz w:val="32"/>
          <w:szCs w:val="32"/>
          <w:highlight w:val="none"/>
          <w:lang w:val="en-US" w:eastAsia="zh-CN"/>
        </w:rPr>
        <w:t>全面</w:t>
      </w:r>
      <w:r>
        <w:rPr>
          <w:rFonts w:hint="eastAsia" w:ascii="Times New Roman" w:hAnsi="Times New Roman" w:eastAsia="仿宋_GB2312" w:cs="Times New Roman"/>
          <w:sz w:val="32"/>
          <w:szCs w:val="32"/>
          <w:highlight w:val="none"/>
        </w:rPr>
        <w:t>提升，</w:t>
      </w:r>
      <w:r>
        <w:rPr>
          <w:rFonts w:hint="eastAsia" w:ascii="Times New Roman" w:hAnsi="Times New Roman" w:eastAsia="仿宋_GB2312" w:cs="Times New Roman"/>
          <w:sz w:val="32"/>
          <w:szCs w:val="32"/>
          <w:highlight w:val="none"/>
          <w:lang w:val="en-US" w:eastAsia="zh-CN"/>
        </w:rPr>
        <w:t>全区安全生产综合治理能力、</w:t>
      </w:r>
      <w:r>
        <w:rPr>
          <w:rFonts w:hint="eastAsia" w:ascii="Times New Roman" w:hAnsi="Times New Roman" w:eastAsia="仿宋_GB2312" w:cs="Times New Roman"/>
          <w:sz w:val="32"/>
          <w:szCs w:val="32"/>
          <w:highlight w:val="none"/>
        </w:rPr>
        <w:t>重大风险防范化解</w:t>
      </w:r>
      <w:r>
        <w:rPr>
          <w:rFonts w:hint="eastAsia" w:ascii="Times New Roman" w:hAnsi="Times New Roman" w:eastAsia="仿宋_GB2312" w:cs="Times New Roman"/>
          <w:sz w:val="32"/>
          <w:szCs w:val="32"/>
          <w:highlight w:val="none"/>
          <w:lang w:val="en-US" w:eastAsia="zh-CN"/>
        </w:rPr>
        <w:t>能力、突发公共事件应急能力、防灾减灾救灾能力显著增强</w:t>
      </w:r>
      <w:r>
        <w:rPr>
          <w:rFonts w:hint="eastAsia" w:ascii="Times New Roman" w:hAnsi="Times New Roman" w:eastAsia="仿宋_GB2312" w:cs="Times New Roman"/>
          <w:sz w:val="32"/>
          <w:szCs w:val="32"/>
          <w:highlight w:val="none"/>
        </w:rPr>
        <w:t>，韧性城市建设实现系统性突破与重要进展。</w:t>
      </w:r>
    </w:p>
    <w:p w14:paraId="7E58F9A2">
      <w:pPr>
        <w:pStyle w:val="3"/>
        <w:spacing w:before="0" w:after="0" w:line="560" w:lineRule="exact"/>
        <w:ind w:firstLine="640" w:firstLineChars="200"/>
        <w:rPr>
          <w:rFonts w:ascii="Times New Roman" w:hAnsi="Times New Roman" w:eastAsia="黑体"/>
          <w:b w:val="0"/>
          <w:color w:val="000000"/>
          <w:kern w:val="0"/>
          <w:sz w:val="32"/>
          <w:szCs w:val="32"/>
          <w:highlight w:val="none"/>
        </w:rPr>
      </w:pPr>
      <w:bookmarkStart w:id="127" w:name="_Toc26923"/>
      <w:bookmarkStart w:id="128" w:name="_Toc22671"/>
      <w:bookmarkStart w:id="129" w:name="_Toc9491"/>
      <w:bookmarkStart w:id="130" w:name="_Toc446"/>
      <w:bookmarkStart w:id="131" w:name="_Toc14487"/>
      <w:bookmarkStart w:id="132" w:name="_Toc22"/>
      <w:bookmarkStart w:id="133" w:name="_Toc25505"/>
      <w:bookmarkStart w:id="134" w:name="_Toc1332"/>
      <w:bookmarkStart w:id="135" w:name="_Toc1641"/>
      <w:bookmarkStart w:id="136" w:name="_Toc17514"/>
      <w:bookmarkStart w:id="137" w:name="_Toc9577"/>
      <w:bookmarkStart w:id="138" w:name="_Toc32321"/>
      <w:bookmarkStart w:id="139" w:name="_Toc18611"/>
      <w:bookmarkStart w:id="140" w:name="_Toc19864"/>
      <w:bookmarkStart w:id="141" w:name="_Toc635"/>
      <w:r>
        <w:rPr>
          <w:rFonts w:hint="eastAsia" w:ascii="Times New Roman" w:hAnsi="Times New Roman" w:eastAsia="黑体"/>
          <w:b w:val="0"/>
          <w:color w:val="000000"/>
          <w:kern w:val="0"/>
          <w:sz w:val="32"/>
          <w:szCs w:val="32"/>
          <w:highlight w:val="none"/>
          <w:lang w:eastAsia="zh-CN"/>
        </w:rPr>
        <w:t>三</w:t>
      </w:r>
      <w:r>
        <w:rPr>
          <w:rFonts w:hint="eastAsia" w:ascii="Times New Roman" w:hAnsi="Times New Roman" w:eastAsia="黑体"/>
          <w:b w:val="0"/>
          <w:color w:val="000000"/>
          <w:kern w:val="0"/>
          <w:sz w:val="32"/>
          <w:szCs w:val="32"/>
          <w:highlight w:val="none"/>
        </w:rPr>
        <w:t>、主要任务</w:t>
      </w:r>
      <w:bookmarkEnd w:id="2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DCB7A1F">
      <w:pPr>
        <w:adjustRightInd w:val="0"/>
        <w:snapToGrid w:val="0"/>
        <w:spacing w:line="560" w:lineRule="exact"/>
        <w:ind w:firstLine="640" w:firstLineChars="200"/>
        <w:outlineLvl w:val="1"/>
        <w:rPr>
          <w:rFonts w:ascii="Times New Roman" w:hAnsi="Times New Roman" w:eastAsia="楷体_GB2312" w:cs="Times New Roman"/>
          <w:color w:val="000000"/>
          <w:sz w:val="32"/>
          <w:szCs w:val="32"/>
          <w:highlight w:val="none"/>
        </w:rPr>
      </w:pPr>
      <w:bookmarkStart w:id="142" w:name="_Toc17018"/>
      <w:bookmarkStart w:id="143" w:name="_Toc23813"/>
      <w:bookmarkStart w:id="144" w:name="_Toc6227"/>
      <w:bookmarkStart w:id="145" w:name="_Toc3862"/>
      <w:bookmarkStart w:id="146" w:name="_Toc8816"/>
      <w:bookmarkStart w:id="147" w:name="_Toc4049"/>
      <w:bookmarkStart w:id="148" w:name="_Toc10588"/>
      <w:bookmarkStart w:id="149" w:name="_Toc19577"/>
      <w:bookmarkStart w:id="150" w:name="_Toc13486"/>
      <w:bookmarkStart w:id="151" w:name="_Toc4585"/>
      <w:bookmarkStart w:id="152" w:name="_Toc25320"/>
      <w:bookmarkStart w:id="153" w:name="_Toc23644"/>
      <w:bookmarkStart w:id="154" w:name="_Toc6508"/>
      <w:bookmarkStart w:id="155" w:name="_Toc7753"/>
      <w:bookmarkStart w:id="156" w:name="_Toc18483"/>
      <w:bookmarkStart w:id="157" w:name="_Toc22101"/>
      <w:r>
        <w:rPr>
          <w:rFonts w:hint="eastAsia" w:ascii="Times New Roman" w:hAnsi="Times New Roman" w:eastAsia="楷体_GB2312" w:cs="Times New Roman"/>
          <w:color w:val="000000"/>
          <w:sz w:val="32"/>
          <w:szCs w:val="32"/>
          <w:highlight w:val="none"/>
        </w:rPr>
        <w:t>（一）聚焦大安全大应急，</w:t>
      </w:r>
      <w:r>
        <w:rPr>
          <w:rFonts w:hint="eastAsia" w:ascii="Times New Roman" w:hAnsi="Times New Roman" w:eastAsia="楷体_GB2312" w:cs="Times New Roman"/>
          <w:color w:val="000000"/>
          <w:sz w:val="32"/>
          <w:szCs w:val="32"/>
          <w:highlight w:val="none"/>
          <w:lang w:val="en-US" w:eastAsia="zh-CN"/>
        </w:rPr>
        <w:t>健全应急管理组织</w:t>
      </w:r>
      <w:r>
        <w:rPr>
          <w:rFonts w:hint="eastAsia" w:ascii="Times New Roman" w:hAnsi="Times New Roman" w:eastAsia="楷体_GB2312" w:cs="Times New Roman"/>
          <w:color w:val="000000"/>
          <w:sz w:val="32"/>
          <w:szCs w:val="32"/>
          <w:highlight w:val="none"/>
        </w:rPr>
        <w:t>体系</w:t>
      </w:r>
      <w:bookmarkEnd w:id="23"/>
      <w:bookmarkEnd w:id="2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0389E12">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eastAsia="zh-CN"/>
        </w:rPr>
      </w:pPr>
      <w:r>
        <w:rPr>
          <w:rFonts w:hint="eastAsia" w:ascii="Times New Roman" w:hAnsi="Times New Roman" w:eastAsia="仿宋_GB2312" w:cs="Times New Roman"/>
          <w:b/>
          <w:color w:val="000000"/>
          <w:sz w:val="32"/>
          <w:szCs w:val="20"/>
          <w:highlight w:val="none"/>
        </w:rPr>
        <w:t>1.</w:t>
      </w:r>
      <w:r>
        <w:rPr>
          <w:rFonts w:hint="eastAsia" w:ascii="Times New Roman" w:hAnsi="Times New Roman" w:eastAsia="仿宋_GB2312" w:cs="Times New Roman"/>
          <w:b/>
          <w:color w:val="000000"/>
          <w:sz w:val="32"/>
          <w:szCs w:val="20"/>
          <w:highlight w:val="none"/>
          <w:lang w:val="en-US" w:eastAsia="zh-CN"/>
        </w:rPr>
        <w:t>优化</w:t>
      </w:r>
      <w:r>
        <w:rPr>
          <w:rFonts w:hint="eastAsia" w:ascii="Times New Roman" w:hAnsi="Times New Roman" w:eastAsia="仿宋_GB2312" w:cs="Times New Roman"/>
          <w:b/>
          <w:color w:val="000000"/>
          <w:sz w:val="32"/>
          <w:szCs w:val="20"/>
          <w:highlight w:val="none"/>
        </w:rPr>
        <w:t>应急管理组织</w:t>
      </w:r>
      <w:r>
        <w:rPr>
          <w:rFonts w:hint="eastAsia" w:ascii="Times New Roman" w:hAnsi="Times New Roman" w:eastAsia="仿宋_GB2312" w:cs="Times New Roman"/>
          <w:b/>
          <w:color w:val="000000"/>
          <w:sz w:val="32"/>
          <w:szCs w:val="20"/>
          <w:highlight w:val="none"/>
          <w:lang w:val="en-US" w:eastAsia="zh-CN"/>
        </w:rPr>
        <w:t>架构</w:t>
      </w:r>
    </w:p>
    <w:p w14:paraId="244CCDBB">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健全大安全大应急组织框架，加强党的全面领导，强化对应急管理职能、人员、物资、资金等事项的统筹保障</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整合安全生产监管、消防、防灾减灾救灾、应急救援有关职责，统一归口应急管理部门综合管理。整合优化议事协调机构，建立健全工作例会、定期通报、挂联指导等机制，充分发挥其组织保障、综合协调、督促落实等作用。推进议事协调机构办公室实体化运作，建立专业管理架构和队伍，实行专人专岗，负责安全与突发事件信息接收、研判、处理和协调指挥。完善工作机制，推进区、街乡、社区三级应急管理工作有机衔接。持续加强“三办五指”（三办，区委办、政府办、应急办；五指，区应急指挥中心、消防救援指挥中心、公安联勤指挥中心、交通管理指挥调度中心、紧急医疗救援指挥中心）应急联动，提高突发事件处置效能。</w:t>
      </w:r>
    </w:p>
    <w:p w14:paraId="4C0B1E04">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eastAsia="zh-CN"/>
        </w:rPr>
      </w:pPr>
      <w:r>
        <w:rPr>
          <w:rFonts w:hint="eastAsia" w:ascii="Times New Roman" w:hAnsi="Times New Roman" w:eastAsia="仿宋_GB2312" w:cs="Times New Roman"/>
          <w:b/>
          <w:color w:val="000000"/>
          <w:sz w:val="32"/>
          <w:szCs w:val="20"/>
          <w:highlight w:val="none"/>
        </w:rPr>
        <w:t>2.</w:t>
      </w:r>
      <w:r>
        <w:rPr>
          <w:rFonts w:hint="eastAsia" w:ascii="Times New Roman" w:hAnsi="Times New Roman" w:eastAsia="仿宋_GB2312" w:cs="Times New Roman"/>
          <w:b/>
          <w:color w:val="000000"/>
          <w:sz w:val="32"/>
          <w:szCs w:val="20"/>
          <w:highlight w:val="none"/>
          <w:lang w:val="en-US" w:eastAsia="zh-CN"/>
        </w:rPr>
        <w:t>健全</w:t>
      </w:r>
      <w:r>
        <w:rPr>
          <w:rFonts w:hint="eastAsia" w:ascii="Times New Roman" w:hAnsi="Times New Roman" w:eastAsia="仿宋_GB2312" w:cs="Times New Roman"/>
          <w:b/>
          <w:color w:val="000000"/>
          <w:sz w:val="32"/>
          <w:szCs w:val="20"/>
          <w:highlight w:val="none"/>
        </w:rPr>
        <w:t>应急统筹指挥</w:t>
      </w:r>
      <w:r>
        <w:rPr>
          <w:rFonts w:hint="eastAsia" w:ascii="Times New Roman" w:hAnsi="Times New Roman" w:eastAsia="仿宋_GB2312" w:cs="Times New Roman"/>
          <w:b/>
          <w:color w:val="000000"/>
          <w:sz w:val="32"/>
          <w:szCs w:val="20"/>
          <w:highlight w:val="none"/>
          <w:lang w:val="en-US" w:eastAsia="zh-CN"/>
        </w:rPr>
        <w:t>机制</w:t>
      </w:r>
    </w:p>
    <w:p w14:paraId="3F88FFA3">
      <w:pPr>
        <w:adjustRightInd w:val="0"/>
        <w:snapToGrid w:val="0"/>
        <w:spacing w:line="560" w:lineRule="exact"/>
        <w:ind w:firstLine="640" w:firstLineChars="200"/>
        <w:rPr>
          <w:rFonts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构建集中</w:t>
      </w:r>
      <w:r>
        <w:rPr>
          <w:rFonts w:hint="eastAsia" w:ascii="Times New Roman" w:hAnsi="Times New Roman" w:eastAsia="仿宋_GB2312" w:cs="Times New Roman"/>
          <w:bCs/>
          <w:color w:val="000000"/>
          <w:sz w:val="32"/>
          <w:szCs w:val="20"/>
          <w:highlight w:val="none"/>
          <w:lang w:val="en-US" w:eastAsia="zh-CN"/>
        </w:rPr>
        <w:t>统一</w:t>
      </w:r>
      <w:r>
        <w:rPr>
          <w:rFonts w:hint="eastAsia" w:ascii="Times New Roman" w:hAnsi="Times New Roman" w:eastAsia="仿宋_GB2312" w:cs="Times New Roman"/>
          <w:bCs/>
          <w:color w:val="000000"/>
          <w:sz w:val="32"/>
          <w:szCs w:val="20"/>
          <w:highlight w:val="none"/>
        </w:rPr>
        <w:t>、扁平</w:t>
      </w:r>
      <w:r>
        <w:rPr>
          <w:rFonts w:hint="eastAsia" w:ascii="Times New Roman" w:hAnsi="Times New Roman" w:eastAsia="仿宋_GB2312" w:cs="Times New Roman"/>
          <w:bCs/>
          <w:color w:val="000000"/>
          <w:sz w:val="32"/>
          <w:szCs w:val="20"/>
          <w:highlight w:val="none"/>
          <w:lang w:val="en-US" w:eastAsia="zh-CN"/>
        </w:rPr>
        <w:t>高效的</w:t>
      </w:r>
      <w:r>
        <w:rPr>
          <w:rFonts w:hint="eastAsia" w:ascii="Times New Roman" w:hAnsi="Times New Roman" w:eastAsia="仿宋_GB2312" w:cs="Times New Roman"/>
          <w:bCs/>
          <w:color w:val="000000"/>
          <w:sz w:val="32"/>
          <w:szCs w:val="20"/>
          <w:highlight w:val="none"/>
        </w:rPr>
        <w:t>应急指挥</w:t>
      </w:r>
      <w:r>
        <w:rPr>
          <w:rFonts w:hint="eastAsia" w:ascii="Times New Roman" w:hAnsi="Times New Roman" w:eastAsia="仿宋_GB2312" w:cs="Times New Roman"/>
          <w:bCs/>
          <w:color w:val="000000"/>
          <w:sz w:val="32"/>
          <w:szCs w:val="20"/>
          <w:highlight w:val="none"/>
          <w:lang w:val="en-US" w:eastAsia="zh-CN"/>
        </w:rPr>
        <w:t>体系</w:t>
      </w:r>
      <w:r>
        <w:rPr>
          <w:rFonts w:hint="eastAsia" w:ascii="Times New Roman" w:hAnsi="Times New Roman" w:eastAsia="仿宋_GB2312" w:cs="Times New Roman"/>
          <w:bCs/>
          <w:color w:val="000000"/>
          <w:sz w:val="32"/>
          <w:szCs w:val="20"/>
          <w:highlight w:val="none"/>
        </w:rPr>
        <w:t>，统一领导全区自然灾害、事故灾难等突发事件应对工作。完善“区—街乡—社区（村）”三级应急指挥体系。强化应急管理部门综合协调和统筹调度、街乡依法先期处置、职能部门协调处置、应急力量专业处置职能，明确各级各类应急救援队伍和应急保障队伍的调动权限，规范信息汇总、会商研判、指挥协调等工作流程。完善应急联动机制，深化“四联机制”（指挥联系、会议联办、视频联通、信息联网），推动区、街乡值班室规范化建设，</w:t>
      </w:r>
      <w:r>
        <w:rPr>
          <w:rFonts w:hint="eastAsia" w:ascii="Times New Roman" w:hAnsi="Times New Roman" w:eastAsia="仿宋_GB2312" w:cs="Times New Roman"/>
          <w:bCs/>
          <w:color w:val="000000"/>
          <w:sz w:val="32"/>
          <w:szCs w:val="20"/>
          <w:highlight w:val="none"/>
          <w:lang w:val="en-US" w:eastAsia="zh-CN"/>
        </w:rPr>
        <w:t>提升</w:t>
      </w:r>
      <w:r>
        <w:rPr>
          <w:rFonts w:hint="eastAsia" w:ascii="Times New Roman" w:hAnsi="Times New Roman" w:eastAsia="仿宋_GB2312" w:cs="Times New Roman"/>
          <w:bCs/>
          <w:color w:val="000000"/>
          <w:sz w:val="32"/>
          <w:szCs w:val="20"/>
          <w:highlight w:val="none"/>
        </w:rPr>
        <w:t>值班值守</w:t>
      </w:r>
      <w:r>
        <w:rPr>
          <w:rFonts w:hint="eastAsia" w:ascii="Times New Roman" w:hAnsi="Times New Roman" w:eastAsia="仿宋_GB2312" w:cs="Times New Roman"/>
          <w:bCs/>
          <w:color w:val="000000"/>
          <w:sz w:val="32"/>
          <w:szCs w:val="20"/>
          <w:highlight w:val="none"/>
          <w:lang w:val="en-US" w:eastAsia="zh-CN"/>
        </w:rPr>
        <w:t>与</w:t>
      </w:r>
      <w:r>
        <w:rPr>
          <w:rFonts w:hint="eastAsia" w:ascii="Times New Roman" w:hAnsi="Times New Roman" w:eastAsia="仿宋_GB2312" w:cs="Times New Roman"/>
          <w:bCs/>
          <w:color w:val="000000"/>
          <w:sz w:val="32"/>
          <w:szCs w:val="20"/>
          <w:highlight w:val="none"/>
        </w:rPr>
        <w:t>指挥水平。推进应急指挥中心规范化建设，</w:t>
      </w:r>
      <w:r>
        <w:rPr>
          <w:rFonts w:hint="eastAsia" w:ascii="Times New Roman" w:hAnsi="Times New Roman" w:eastAsia="仿宋_GB2312" w:cs="Times New Roman"/>
          <w:bCs/>
          <w:color w:val="000000"/>
          <w:sz w:val="32"/>
          <w:szCs w:val="20"/>
          <w:highlight w:val="none"/>
          <w:lang w:val="en-US" w:eastAsia="zh-CN"/>
        </w:rPr>
        <w:t>明确前</w:t>
      </w:r>
      <w:r>
        <w:rPr>
          <w:rFonts w:hint="eastAsia" w:ascii="Times New Roman" w:hAnsi="Times New Roman" w:eastAsia="仿宋_GB2312" w:cs="Times New Roman"/>
          <w:bCs/>
          <w:color w:val="000000"/>
          <w:sz w:val="32"/>
          <w:szCs w:val="20"/>
          <w:highlight w:val="none"/>
        </w:rPr>
        <w:t>后方</w:t>
      </w:r>
      <w:r>
        <w:rPr>
          <w:rFonts w:hint="eastAsia" w:ascii="Times New Roman" w:hAnsi="Times New Roman" w:eastAsia="仿宋_GB2312" w:cs="Times New Roman"/>
          <w:bCs/>
          <w:color w:val="000000"/>
          <w:sz w:val="32"/>
          <w:szCs w:val="20"/>
          <w:highlight w:val="none"/>
          <w:lang w:val="en-US" w:eastAsia="zh-CN"/>
        </w:rPr>
        <w:t>指挥部</w:t>
      </w:r>
      <w:r>
        <w:rPr>
          <w:rFonts w:hint="eastAsia" w:ascii="Times New Roman" w:hAnsi="Times New Roman" w:eastAsia="仿宋_GB2312" w:cs="Times New Roman"/>
          <w:bCs/>
          <w:color w:val="000000"/>
          <w:sz w:val="32"/>
          <w:szCs w:val="20"/>
          <w:highlight w:val="none"/>
        </w:rPr>
        <w:t>结构标准，</w:t>
      </w:r>
      <w:r>
        <w:rPr>
          <w:rFonts w:hint="eastAsia" w:ascii="Times New Roman" w:hAnsi="Times New Roman" w:eastAsia="仿宋_GB2312" w:cs="Times New Roman"/>
          <w:bCs/>
          <w:color w:val="000000"/>
          <w:sz w:val="32"/>
          <w:szCs w:val="20"/>
          <w:highlight w:val="none"/>
          <w:lang w:val="en-US" w:eastAsia="zh-CN"/>
        </w:rPr>
        <w:t>实现</w:t>
      </w:r>
      <w:r>
        <w:rPr>
          <w:rFonts w:hint="eastAsia" w:ascii="Times New Roman" w:hAnsi="Times New Roman" w:eastAsia="仿宋_GB2312" w:cs="Times New Roman"/>
          <w:bCs/>
          <w:color w:val="000000"/>
          <w:sz w:val="32"/>
          <w:szCs w:val="20"/>
          <w:highlight w:val="none"/>
        </w:rPr>
        <w:t>区、街道（社区）综合应急指挥中心</w:t>
      </w:r>
      <w:r>
        <w:rPr>
          <w:rFonts w:hint="eastAsia" w:ascii="Times New Roman" w:hAnsi="Times New Roman" w:eastAsia="仿宋_GB2312" w:cs="Times New Roman"/>
          <w:bCs/>
          <w:color w:val="000000"/>
          <w:sz w:val="32"/>
          <w:szCs w:val="20"/>
          <w:highlight w:val="none"/>
          <w:lang w:val="en-US" w:eastAsia="zh-CN"/>
        </w:rPr>
        <w:t>和</w:t>
      </w:r>
      <w:r>
        <w:rPr>
          <w:rFonts w:hint="eastAsia" w:ascii="Times New Roman" w:hAnsi="Times New Roman" w:eastAsia="仿宋_GB2312" w:cs="Times New Roman"/>
          <w:bCs/>
          <w:color w:val="000000"/>
          <w:sz w:val="32"/>
          <w:szCs w:val="20"/>
          <w:highlight w:val="none"/>
        </w:rPr>
        <w:t>人防指挥所</w:t>
      </w:r>
      <w:r>
        <w:rPr>
          <w:rFonts w:hint="eastAsia" w:ascii="Times New Roman" w:hAnsi="Times New Roman" w:eastAsia="仿宋_GB2312" w:cs="Times New Roman"/>
          <w:bCs/>
          <w:color w:val="000000"/>
          <w:sz w:val="32"/>
          <w:szCs w:val="20"/>
          <w:highlight w:val="none"/>
          <w:lang w:val="en-US" w:eastAsia="zh-CN"/>
        </w:rPr>
        <w:t>全面覆盖</w:t>
      </w:r>
      <w:r>
        <w:rPr>
          <w:rFonts w:hint="eastAsia" w:ascii="Times New Roman" w:hAnsi="Times New Roman" w:eastAsia="仿宋_GB2312" w:cs="Times New Roman"/>
          <w:bCs/>
          <w:color w:val="000000"/>
          <w:sz w:val="32"/>
          <w:szCs w:val="20"/>
          <w:highlight w:val="none"/>
        </w:rPr>
        <w:t>。健全</w:t>
      </w:r>
      <w:r>
        <w:rPr>
          <w:rFonts w:hint="eastAsia" w:ascii="Times New Roman" w:hAnsi="Times New Roman" w:eastAsia="仿宋_GB2312" w:cs="Times New Roman"/>
          <w:bCs/>
          <w:color w:val="000000"/>
          <w:sz w:val="32"/>
          <w:szCs w:val="20"/>
          <w:highlight w:val="none"/>
          <w:lang w:val="en-US" w:eastAsia="zh-CN"/>
        </w:rPr>
        <w:t>街乡</w:t>
      </w:r>
      <w:r>
        <w:rPr>
          <w:rFonts w:hint="eastAsia" w:ascii="Times New Roman" w:hAnsi="Times New Roman" w:eastAsia="仿宋_GB2312" w:cs="Times New Roman"/>
          <w:bCs/>
          <w:color w:val="000000"/>
          <w:sz w:val="32"/>
          <w:szCs w:val="20"/>
          <w:highlight w:val="none"/>
        </w:rPr>
        <w:t>由综合保障或平安建设部门牵头的应急指挥机制，明确领导班子成员和有关单位职责，完善指挥调度、会商研判、业务保障等设施设备和系统，确保上下贯通、一体应对。</w:t>
      </w:r>
    </w:p>
    <w:p w14:paraId="3F87BE76">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3.严格压实应急管理责任</w:t>
      </w:r>
    </w:p>
    <w:p w14:paraId="2420F3EE">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健全党政领导干部安全责任清单，定期专题研究安全生产、防灾减灾救灾等工作，及时协调解决重点难点问题，落实重大安全风险防控责任。明确应急管理责任，加强区应急委（区减灾委、区安委会）和区防火委的工作统筹协调力度，推动应急办、减灾办、安委办、防火办“四办融合”。</w:t>
      </w:r>
      <w:r>
        <w:rPr>
          <w:rFonts w:hint="eastAsia" w:ascii="Times New Roman" w:hAnsi="Times New Roman" w:eastAsia="仿宋_GB2312" w:cs="Times New Roman"/>
          <w:bCs/>
          <w:color w:val="000000"/>
          <w:sz w:val="32"/>
          <w:szCs w:val="20"/>
          <w:highlight w:val="none"/>
          <w:lang w:val="en-US" w:eastAsia="zh-CN"/>
        </w:rPr>
        <w:t>推行</w:t>
      </w:r>
      <w:r>
        <w:rPr>
          <w:rFonts w:hint="eastAsia" w:ascii="Times New Roman" w:hAnsi="Times New Roman" w:eastAsia="仿宋_GB2312" w:cs="Times New Roman"/>
          <w:bCs/>
          <w:color w:val="000000"/>
          <w:sz w:val="32"/>
          <w:szCs w:val="20"/>
          <w:highlight w:val="none"/>
        </w:rPr>
        <w:t>风险防控</w:t>
      </w:r>
      <w:r>
        <w:rPr>
          <w:rFonts w:hint="eastAsia" w:ascii="Times New Roman" w:hAnsi="Times New Roman" w:eastAsia="仿宋_GB2312" w:cs="Times New Roman"/>
          <w:bCs/>
          <w:color w:val="000000"/>
          <w:sz w:val="32"/>
          <w:szCs w:val="20"/>
          <w:highlight w:val="none"/>
          <w:lang w:val="en-US" w:eastAsia="zh-CN"/>
        </w:rPr>
        <w:t>与</w:t>
      </w:r>
      <w:r>
        <w:rPr>
          <w:rFonts w:hint="eastAsia" w:ascii="Times New Roman" w:hAnsi="Times New Roman" w:eastAsia="仿宋_GB2312" w:cs="Times New Roman"/>
          <w:bCs/>
          <w:color w:val="000000"/>
          <w:sz w:val="32"/>
          <w:szCs w:val="20"/>
          <w:highlight w:val="none"/>
        </w:rPr>
        <w:t>应急处置全流程闭环管理，</w:t>
      </w:r>
      <w:bookmarkStart w:id="221" w:name="_GoBack"/>
      <w:bookmarkEnd w:id="221"/>
      <w:r>
        <w:rPr>
          <w:rFonts w:hint="eastAsia" w:ascii="Times New Roman" w:hAnsi="Times New Roman" w:eastAsia="仿宋_GB2312" w:cs="Times New Roman"/>
          <w:bCs/>
          <w:color w:val="000000"/>
          <w:sz w:val="32"/>
          <w:szCs w:val="20"/>
          <w:highlight w:val="none"/>
          <w:lang w:val="en-US" w:eastAsia="zh-CN"/>
        </w:rPr>
        <w:t>实现</w:t>
      </w:r>
      <w:r>
        <w:rPr>
          <w:rFonts w:hint="eastAsia" w:ascii="Times New Roman" w:hAnsi="Times New Roman" w:eastAsia="仿宋_GB2312" w:cs="Times New Roman"/>
          <w:bCs/>
          <w:color w:val="000000"/>
          <w:sz w:val="32"/>
          <w:szCs w:val="20"/>
          <w:highlight w:val="none"/>
        </w:rPr>
        <w:t>隐患排查、风险识别、监测预警、处置</w:t>
      </w:r>
      <w:r>
        <w:rPr>
          <w:rFonts w:hint="eastAsia" w:ascii="Times New Roman" w:hAnsi="Times New Roman" w:eastAsia="仿宋_GB2312" w:cs="Times New Roman"/>
          <w:bCs/>
          <w:color w:val="000000"/>
          <w:sz w:val="32"/>
          <w:szCs w:val="20"/>
          <w:highlight w:val="none"/>
          <w:lang w:val="en-US" w:eastAsia="zh-CN"/>
        </w:rPr>
        <w:t>应对</w:t>
      </w:r>
      <w:r>
        <w:rPr>
          <w:rFonts w:hint="eastAsia" w:ascii="Times New Roman" w:hAnsi="Times New Roman" w:eastAsia="仿宋_GB2312" w:cs="Times New Roman"/>
          <w:bCs/>
          <w:color w:val="000000"/>
          <w:sz w:val="32"/>
          <w:szCs w:val="20"/>
          <w:highlight w:val="none"/>
        </w:rPr>
        <w:t>闭环</w:t>
      </w:r>
      <w:r>
        <w:rPr>
          <w:rFonts w:hint="eastAsia" w:ascii="Times New Roman" w:hAnsi="Times New Roman" w:eastAsia="仿宋_GB2312" w:cs="Times New Roman"/>
          <w:bCs/>
          <w:color w:val="000000"/>
          <w:sz w:val="32"/>
          <w:szCs w:val="20"/>
          <w:highlight w:val="none"/>
          <w:lang w:val="en-US" w:eastAsia="zh-CN"/>
        </w:rPr>
        <w:t>运作</w:t>
      </w:r>
      <w:r>
        <w:rPr>
          <w:rFonts w:hint="eastAsia" w:ascii="Times New Roman" w:hAnsi="Times New Roman" w:eastAsia="仿宋_GB2312" w:cs="Times New Roman"/>
          <w:bCs/>
          <w:color w:val="000000"/>
          <w:sz w:val="32"/>
          <w:szCs w:val="20"/>
          <w:highlight w:val="none"/>
        </w:rPr>
        <w:t>。细化部门应急责任，</w:t>
      </w:r>
      <w:r>
        <w:rPr>
          <w:rFonts w:hint="eastAsia" w:ascii="Times New Roman" w:hAnsi="Times New Roman" w:eastAsia="仿宋_GB2312" w:cs="Times New Roman"/>
          <w:bCs/>
          <w:color w:val="000000"/>
          <w:sz w:val="32"/>
          <w:szCs w:val="20"/>
          <w:highlight w:val="none"/>
          <w:lang w:val="en-US" w:eastAsia="zh-CN"/>
        </w:rPr>
        <w:t>落实</w:t>
      </w:r>
      <w:r>
        <w:rPr>
          <w:rFonts w:hint="eastAsia" w:ascii="Times New Roman" w:hAnsi="Times New Roman" w:eastAsia="仿宋_GB2312" w:cs="Times New Roman"/>
          <w:bCs/>
          <w:color w:val="000000"/>
          <w:sz w:val="32"/>
          <w:szCs w:val="20"/>
          <w:highlight w:val="none"/>
        </w:rPr>
        <w:t>“三管三必须”</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厘清行业部门职责边界，理顺危险废物、人员密集场所等领域监管职责。加强新产业、新业态、新领域安全监管，建立监管职责动态调整机制，消除监管盲区。深入落实《朝阳区党政领导干部安全生产责任制实施方案》《北京市朝阳区安全生产职责分工规定》，</w:t>
      </w:r>
      <w:r>
        <w:rPr>
          <w:rFonts w:hint="eastAsia" w:ascii="Times New Roman" w:hAnsi="Times New Roman" w:eastAsia="仿宋_GB2312" w:cs="Times New Roman"/>
          <w:bCs/>
          <w:color w:val="000000"/>
          <w:sz w:val="32"/>
          <w:szCs w:val="20"/>
          <w:highlight w:val="none"/>
          <w:lang w:val="en-US" w:eastAsia="zh-CN"/>
        </w:rPr>
        <w:t>夯实企业主体</w:t>
      </w:r>
      <w:r>
        <w:rPr>
          <w:rFonts w:hint="eastAsia" w:ascii="Times New Roman" w:hAnsi="Times New Roman" w:eastAsia="仿宋_GB2312" w:cs="Times New Roman"/>
          <w:bCs/>
          <w:color w:val="000000"/>
          <w:sz w:val="32"/>
          <w:szCs w:val="20"/>
          <w:highlight w:val="none"/>
        </w:rPr>
        <w:t>责任，夯实企业安全主体责任，深化全员安全生产责任制，建立现代化企业法人治理体系。加强企业法定代表人、实际控制人、主要负责人安全生产第一责任人的责任落实，做到安全责任、管理、投入、培训和应急救援“五到位”。</w:t>
      </w:r>
    </w:p>
    <w:p w14:paraId="0FA49B84">
      <w:pPr>
        <w:keepNext/>
        <w:adjustRightInd w:val="0"/>
        <w:snapToGrid w:val="0"/>
        <w:spacing w:line="560" w:lineRule="exact"/>
        <w:ind w:firstLine="640" w:firstLineChars="200"/>
        <w:outlineLvl w:val="1"/>
        <w:rPr>
          <w:rFonts w:ascii="Times New Roman" w:hAnsi="Times New Roman" w:eastAsia="楷体_GB2312" w:cs="Times New Roman"/>
          <w:color w:val="000000"/>
          <w:sz w:val="32"/>
          <w:szCs w:val="32"/>
          <w:highlight w:val="none"/>
        </w:rPr>
      </w:pPr>
      <w:bookmarkStart w:id="158" w:name="_Toc714"/>
      <w:bookmarkStart w:id="159" w:name="_Toc10780"/>
      <w:bookmarkStart w:id="160" w:name="_Toc17961"/>
      <w:bookmarkStart w:id="161" w:name="_Toc25971"/>
      <w:bookmarkStart w:id="162" w:name="_Toc32334"/>
      <w:bookmarkStart w:id="163" w:name="_Toc27307"/>
      <w:bookmarkStart w:id="164" w:name="_Toc11856"/>
      <w:bookmarkStart w:id="165" w:name="_Toc22419"/>
      <w:bookmarkStart w:id="166" w:name="_Toc27937"/>
      <w:bookmarkStart w:id="167" w:name="_Toc23580"/>
      <w:bookmarkStart w:id="168" w:name="_Toc15226"/>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二</w:t>
      </w:r>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锚定本质安全提升</w:t>
      </w:r>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完善</w:t>
      </w:r>
      <w:r>
        <w:rPr>
          <w:rFonts w:hint="eastAsia" w:ascii="Times New Roman" w:hAnsi="Times New Roman" w:eastAsia="楷体_GB2312" w:cs="Times New Roman"/>
          <w:color w:val="000000"/>
          <w:sz w:val="32"/>
          <w:szCs w:val="32"/>
          <w:highlight w:val="none"/>
        </w:rPr>
        <w:t>安全生产治理体系</w:t>
      </w:r>
      <w:bookmarkEnd w:id="158"/>
      <w:bookmarkEnd w:id="159"/>
      <w:bookmarkEnd w:id="160"/>
      <w:bookmarkEnd w:id="161"/>
      <w:bookmarkEnd w:id="162"/>
      <w:bookmarkEnd w:id="163"/>
      <w:bookmarkEnd w:id="164"/>
      <w:bookmarkEnd w:id="165"/>
      <w:bookmarkEnd w:id="166"/>
      <w:bookmarkEnd w:id="167"/>
      <w:bookmarkEnd w:id="168"/>
    </w:p>
    <w:p w14:paraId="3EC9636F">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rPr>
        <w:t>1.压紧压实安全生产责任</w:t>
      </w:r>
    </w:p>
    <w:p w14:paraId="629DB1ED">
      <w:pPr>
        <w:adjustRightInd w:val="0"/>
        <w:snapToGrid w:val="0"/>
        <w:spacing w:line="560" w:lineRule="exact"/>
        <w:ind w:firstLine="640" w:firstLineChars="200"/>
        <w:outlineLvl w:val="9"/>
        <w:rPr>
          <w:rFonts w:hint="eastAsia" w:ascii="Times New Roman" w:hAnsi="Times New Roman" w:eastAsia="仿宋_GB2312" w:cs="Times New Roman"/>
          <w:bCs/>
          <w:color w:val="000000" w:themeColor="text1"/>
          <w:sz w:val="32"/>
          <w:szCs w:val="28"/>
          <w:highlight w:val="none"/>
          <w14:textFill>
            <w14:solidFill>
              <w14:schemeClr w14:val="tx1"/>
            </w14:solidFill>
          </w14:textFill>
        </w:rPr>
      </w:pP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全面</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贯彻习近平总书记关于安全生产重要指示批示精神</w:t>
      </w:r>
      <w:r>
        <w:rPr>
          <w:rFonts w:hint="eastAsia" w:ascii="Times New Roman" w:hAnsi="Times New Roman" w:eastAsia="仿宋_GB2312" w:cs="Times New Roman"/>
          <w:bCs/>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严格</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落实“党政同责、一岗双责、齐抓共管、失职追责”要求，</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将</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安全生产融入经济社会高质量发展各领域全过程。制定</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并细化完善</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党政领导干部安全生产职责清单及重点工作清单。督促指导生产经营单位强化安全生产主体责任落实，推动安全投入到位、安全培训到位、基础管理到位、应急救援到位。</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严格落实</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安全生产考核巡查办法，高标准</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配合</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中央、北京市安全生产考核巡查。推动“三管三必须”落地落实，</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开展</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月子中心等职能交叉和新业态新领域安全职责研究，及时消除监管盲区。编制实施年度安全生产考核细则，优化考核内容，提升考核质效，发挥</w:t>
      </w:r>
      <w:r>
        <w:rPr>
          <w:rFonts w:hint="eastAsia" w:ascii="Times New Roman" w:hAnsi="Times New Roman" w:eastAsia="仿宋_GB2312" w:cs="Times New Roman"/>
          <w:bCs/>
          <w:color w:val="000000" w:themeColor="text1"/>
          <w:sz w:val="32"/>
          <w:szCs w:val="28"/>
          <w:highlight w:val="none"/>
          <w:lang w:val="en-US" w:eastAsia="zh-CN"/>
          <w14:textFill>
            <w14:solidFill>
              <w14:schemeClr w14:val="tx1"/>
            </w14:solidFill>
          </w14:textFill>
        </w:rPr>
        <w:t>考核</w:t>
      </w:r>
      <w:r>
        <w:rPr>
          <w:rFonts w:hint="eastAsia" w:ascii="Times New Roman" w:hAnsi="Times New Roman" w:eastAsia="仿宋_GB2312" w:cs="Times New Roman"/>
          <w:bCs/>
          <w:color w:val="000000" w:themeColor="text1"/>
          <w:sz w:val="32"/>
          <w:szCs w:val="28"/>
          <w:highlight w:val="none"/>
          <w14:textFill>
            <w14:solidFill>
              <w14:schemeClr w14:val="tx1"/>
            </w14:solidFill>
          </w14:textFill>
        </w:rPr>
        <w:t>“指挥棒”作用。明确重大隐患判定标准，建立重大隐患上报机制，推动企业和社会化服务机构精准排查整治。</w:t>
      </w:r>
    </w:p>
    <w:p w14:paraId="1E5ED1E8">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lang w:val="en-US" w:eastAsia="zh-CN"/>
        </w:rPr>
        <w:t>2</w:t>
      </w:r>
      <w:r>
        <w:rPr>
          <w:rFonts w:hint="eastAsia" w:ascii="Times New Roman" w:hAnsi="Times New Roman" w:eastAsia="仿宋_GB2312" w:cs="Times New Roman"/>
          <w:b/>
          <w:color w:val="000000"/>
          <w:sz w:val="32"/>
          <w:szCs w:val="20"/>
          <w:highlight w:val="none"/>
        </w:rPr>
        <w:t>.</w:t>
      </w:r>
      <w:r>
        <w:rPr>
          <w:rFonts w:hint="eastAsia" w:ascii="Times New Roman" w:hAnsi="Times New Roman" w:eastAsia="仿宋_GB2312" w:cs="Times New Roman"/>
          <w:b/>
          <w:color w:val="000000"/>
          <w:sz w:val="32"/>
          <w:szCs w:val="20"/>
          <w:highlight w:val="none"/>
          <w:lang w:val="en-US" w:eastAsia="zh-CN"/>
        </w:rPr>
        <w:t>深化安全生产风险隐患排查</w:t>
      </w:r>
    </w:p>
    <w:p w14:paraId="0809A75D">
      <w:pPr>
        <w:adjustRightInd w:val="0"/>
        <w:snapToGrid w:val="0"/>
        <w:spacing w:line="560" w:lineRule="exact"/>
        <w:ind w:firstLine="640" w:firstLineChars="200"/>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rPr>
        <w:t>聚焦重点行业领域、重点区域、重点单位、重点人员和重大基础设施，持续推进安全生产风险隐患排查整治专项行动，集中整治一批重大事故灾害风险隐患和重点难点问题。</w:t>
      </w:r>
      <w:r>
        <w:rPr>
          <w:rFonts w:hint="eastAsia" w:ascii="Times New Roman" w:hAnsi="Times New Roman" w:eastAsia="仿宋_GB2312" w:cs="Times New Roman"/>
          <w:bCs/>
          <w:color w:val="000000"/>
          <w:sz w:val="32"/>
          <w:szCs w:val="28"/>
          <w:highlight w:val="none"/>
          <w:lang w:val="en-US" w:eastAsia="zh-CN"/>
        </w:rPr>
        <w:t>针对</w:t>
      </w:r>
      <w:r>
        <w:rPr>
          <w:rFonts w:hint="eastAsia" w:ascii="Times New Roman" w:hAnsi="Times New Roman" w:eastAsia="仿宋_GB2312" w:cs="Times New Roman"/>
          <w:bCs/>
          <w:color w:val="000000"/>
          <w:sz w:val="32"/>
          <w:szCs w:val="28"/>
          <w:highlight w:val="none"/>
        </w:rPr>
        <w:t>突出问题和事故多发地区，创新点名调度模式，</w:t>
      </w:r>
      <w:r>
        <w:rPr>
          <w:rFonts w:hint="eastAsia" w:ascii="Times New Roman" w:hAnsi="Times New Roman" w:eastAsia="仿宋_GB2312" w:cs="Times New Roman"/>
          <w:bCs/>
          <w:color w:val="000000"/>
          <w:sz w:val="32"/>
          <w:szCs w:val="28"/>
          <w:highlight w:val="none"/>
          <w:lang w:val="en-US" w:eastAsia="zh-CN"/>
        </w:rPr>
        <w:t>巩固</w:t>
      </w:r>
      <w:r>
        <w:rPr>
          <w:rFonts w:hint="eastAsia" w:ascii="Times New Roman" w:hAnsi="Times New Roman" w:eastAsia="仿宋_GB2312" w:cs="Times New Roman"/>
          <w:bCs/>
          <w:color w:val="000000"/>
          <w:sz w:val="32"/>
          <w:szCs w:val="28"/>
          <w:highlight w:val="none"/>
        </w:rPr>
        <w:t>动火作业、电动自行车“不进楼不入户”等“小切口”专项治理成效。坚持重心下移、力量下沉，</w:t>
      </w:r>
      <w:r>
        <w:rPr>
          <w:rFonts w:hint="eastAsia" w:ascii="Times New Roman" w:hAnsi="Times New Roman" w:eastAsia="仿宋_GB2312" w:cs="Times New Roman"/>
          <w:bCs/>
          <w:color w:val="000000"/>
          <w:sz w:val="32"/>
          <w:szCs w:val="28"/>
          <w:highlight w:val="none"/>
          <w:lang w:val="en-US" w:eastAsia="zh-CN"/>
        </w:rPr>
        <w:t>加强</w:t>
      </w:r>
      <w:r>
        <w:rPr>
          <w:rFonts w:hint="eastAsia" w:ascii="Times New Roman" w:hAnsi="Times New Roman" w:eastAsia="仿宋_GB2312" w:cs="Times New Roman"/>
          <w:bCs/>
          <w:color w:val="000000"/>
          <w:sz w:val="32"/>
          <w:szCs w:val="28"/>
          <w:highlight w:val="none"/>
        </w:rPr>
        <w:t>区安委办、区防火办明查暗访、督导整改机制落实，持续开展明查暗访，发现问题隐患及时督促属地、部门进行整改。推动生产经营单位落实安全风险分级管控和隐患排查治理双重预防工作机制，健全事故隐患内部报告奖励和安全监督检查等工作机制，及时排查消除各类事故隐患。</w:t>
      </w:r>
    </w:p>
    <w:p w14:paraId="703B3375">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ascii="Times New Roman" w:hAnsi="Times New Roman" w:eastAsia="仿宋_GB2312" w:cs="Times New Roman"/>
          <w:b/>
          <w:color w:val="000000"/>
          <w:sz w:val="32"/>
          <w:szCs w:val="20"/>
          <w:highlight w:val="none"/>
        </w:rPr>
        <w:t>3.</w:t>
      </w:r>
      <w:r>
        <w:rPr>
          <w:rFonts w:hint="eastAsia" w:ascii="Times New Roman" w:hAnsi="Times New Roman" w:eastAsia="仿宋_GB2312" w:cs="Times New Roman"/>
          <w:b/>
          <w:color w:val="000000"/>
          <w:sz w:val="32"/>
          <w:szCs w:val="20"/>
          <w:highlight w:val="none"/>
          <w:lang w:val="en-US" w:eastAsia="zh-CN"/>
        </w:rPr>
        <w:t>开展</w:t>
      </w:r>
      <w:r>
        <w:rPr>
          <w:rFonts w:hint="eastAsia" w:ascii="Times New Roman" w:hAnsi="Times New Roman" w:eastAsia="仿宋_GB2312" w:cs="Times New Roman"/>
          <w:b/>
          <w:color w:val="000000"/>
          <w:sz w:val="32"/>
          <w:szCs w:val="20"/>
          <w:highlight w:val="none"/>
        </w:rPr>
        <w:t>重点行业专项整治</w:t>
      </w:r>
    </w:p>
    <w:p w14:paraId="61CD73F7">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eastAsia="仿宋_GB2312"/>
          <w:sz w:val="32"/>
          <w:szCs w:val="32"/>
          <w:highlight w:val="none"/>
        </w:rPr>
        <w:t>坚持关口前移、标本兼治</w:t>
      </w:r>
      <w:r>
        <w:rPr>
          <w:rFonts w:eastAsia="仿宋_GB2312"/>
          <w:sz w:val="32"/>
          <w:szCs w:val="32"/>
          <w:highlight w:val="none"/>
        </w:rPr>
        <w:t>，</w:t>
      </w:r>
      <w:r>
        <w:rPr>
          <w:rFonts w:hint="eastAsia" w:eastAsia="仿宋_GB2312"/>
          <w:sz w:val="32"/>
          <w:szCs w:val="32"/>
          <w:highlight w:val="none"/>
        </w:rPr>
        <w:t>持续深化城镇燃气、电动自行车、施工动火作业、建筑保温材料、危险化学品等“一件事”全链条治理，防范各环节重大安全风险</w:t>
      </w:r>
      <w:r>
        <w:rPr>
          <w:rFonts w:hint="eastAsia" w:eastAsia="仿宋_GB2312"/>
          <w:sz w:val="32"/>
          <w:szCs w:val="32"/>
          <w:highlight w:val="none"/>
          <w:lang w:eastAsia="zh-CN"/>
        </w:rPr>
        <w:t>，</w:t>
      </w:r>
      <w:r>
        <w:rPr>
          <w:rFonts w:hint="eastAsia" w:eastAsia="仿宋_GB2312"/>
          <w:sz w:val="32"/>
          <w:szCs w:val="32"/>
          <w:highlight w:val="none"/>
        </w:rPr>
        <w:t>严格落实“两个以上独立逃生通道”、电动自行车“不进楼不入户”，最大限度降低事故概率、最大程度降低事故损失。开展道路交通系统治理，加强运输平台、自动驾驶、交能融合等新业态安全协同监管，持续强化“两客一危”、高风险路段、轨道交通等重点事项安全监管</w:t>
      </w:r>
      <w:r>
        <w:rPr>
          <w:rFonts w:hint="eastAsia" w:eastAsia="仿宋_GB2312"/>
          <w:sz w:val="32"/>
          <w:szCs w:val="32"/>
          <w:highlight w:val="none"/>
          <w:lang w:eastAsia="zh-CN"/>
        </w:rPr>
        <w:t>。</w:t>
      </w:r>
      <w:r>
        <w:rPr>
          <w:rFonts w:hint="eastAsia" w:eastAsia="仿宋_GB2312"/>
          <w:sz w:val="32"/>
          <w:szCs w:val="32"/>
          <w:highlight w:val="none"/>
        </w:rPr>
        <w:t>深化危化品全链条管理，聚焦重点行业领域全面开展风险评估与精准管控，全力提升全生命周期安全风险防控水平。</w:t>
      </w:r>
      <w:r>
        <w:rPr>
          <w:rFonts w:eastAsia="仿宋_GB2312"/>
          <w:sz w:val="32"/>
          <w:szCs w:val="32"/>
          <w:highlight w:val="none"/>
        </w:rPr>
        <w:t>强化源头治理、综合治理、系统治理，</w:t>
      </w:r>
      <w:r>
        <w:rPr>
          <w:rFonts w:hint="eastAsia" w:ascii="Times New Roman" w:hAnsi="Times New Roman" w:eastAsia="仿宋_GB2312" w:cs="Times New Roman"/>
          <w:bCs/>
          <w:color w:val="000000"/>
          <w:sz w:val="32"/>
          <w:szCs w:val="20"/>
          <w:highlight w:val="none"/>
        </w:rPr>
        <w:t>加强对</w:t>
      </w:r>
      <w:r>
        <w:rPr>
          <w:rFonts w:hint="eastAsia" w:eastAsia="仿宋_GB2312"/>
          <w:color w:val="000000"/>
          <w:sz w:val="32"/>
          <w:szCs w:val="32"/>
          <w:highlight w:val="none"/>
        </w:rPr>
        <w:t>职能交叉及新业态新领域</w:t>
      </w:r>
      <w:r>
        <w:rPr>
          <w:rFonts w:hint="eastAsia" w:ascii="Times New Roman" w:hAnsi="Times New Roman" w:eastAsia="仿宋_GB2312" w:cs="Times New Roman"/>
          <w:bCs/>
          <w:color w:val="000000"/>
          <w:sz w:val="32"/>
          <w:szCs w:val="20"/>
          <w:highlight w:val="none"/>
        </w:rPr>
        <w:t>安全风险监管。持续推动企业健全完善安全生产风险分级管控和隐患排查治理双重预防体系，提升规范化管理水平。</w:t>
      </w:r>
    </w:p>
    <w:p w14:paraId="1E064AC6">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rPr>
      </w:pPr>
      <w:r>
        <w:rPr>
          <w:rFonts w:hint="eastAsia" w:ascii="Times New Roman" w:hAnsi="Times New Roman" w:eastAsia="仿宋_GB2312" w:cs="Times New Roman"/>
          <w:b/>
          <w:color w:val="000000"/>
          <w:sz w:val="32"/>
          <w:szCs w:val="20"/>
          <w:highlight w:val="none"/>
        </w:rPr>
        <w:t>4.</w:t>
      </w:r>
      <w:r>
        <w:rPr>
          <w:rFonts w:hint="eastAsia" w:ascii="Times New Roman" w:hAnsi="Times New Roman" w:eastAsia="仿宋_GB2312" w:cs="Times New Roman"/>
          <w:b/>
          <w:color w:val="000000"/>
          <w:sz w:val="32"/>
          <w:szCs w:val="20"/>
          <w:highlight w:val="none"/>
          <w:lang w:val="en-US" w:eastAsia="zh-CN"/>
        </w:rPr>
        <w:t>提升本质安全能级水平</w:t>
      </w:r>
    </w:p>
    <w:p w14:paraId="2365B4CB">
      <w:pPr>
        <w:adjustRightInd w:val="0"/>
        <w:snapToGrid w:val="0"/>
        <w:spacing w:line="560" w:lineRule="exact"/>
        <w:ind w:firstLine="640" w:firstLineChars="200"/>
        <w:rPr>
          <w:rFonts w:hint="eastAsia" w:ascii="仿宋_GB2312" w:eastAsia="仿宋_GB2312"/>
          <w:color w:val="000000"/>
          <w:sz w:val="32"/>
          <w:szCs w:val="32"/>
          <w:highlight w:val="none"/>
        </w:rPr>
      </w:pPr>
      <w:r>
        <w:rPr>
          <w:rFonts w:hint="eastAsia" w:ascii="Times New Roman" w:hAnsi="Times New Roman" w:eastAsia="仿宋_GB2312" w:cs="Times New Roman"/>
          <w:bCs/>
          <w:color w:val="000000"/>
          <w:sz w:val="32"/>
          <w:szCs w:val="20"/>
          <w:highlight w:val="none"/>
        </w:rPr>
        <w:t>严格执行重点区域安全生产禁止和限制类产业目录，强化重大安全风险源头管控。加强水、电、气、热、交通等城市运行安全，以及重点企业、高层建筑、大型商业综合体、文物单位、地下空间等领域监测感知建设，提升安全风险全域感知、全时段监测预警能力。持续推进老旧桥梁升级改造，强化在役在建公路基础设施安全防护。健全长途客运车辆、旅游客车、危险物品运输车辆等营运车辆安全技术准入标准，从源头提升营运安全水平。开展安全生产标准示范工程，加大典型示范培育力度，打造一批标准化样板街道、园区、标杆企业、达标企业和示范岗位，促进各类典型示范提质扩面增效，切实提升示范引领水平。</w:t>
      </w:r>
    </w:p>
    <w:p w14:paraId="7795A304">
      <w:pPr>
        <w:adjustRightInd w:val="0"/>
        <w:snapToGrid w:val="0"/>
        <w:spacing w:line="560" w:lineRule="exact"/>
        <w:ind w:firstLine="643" w:firstLineChars="200"/>
        <w:outlineLvl w:val="2"/>
        <w:rPr>
          <w:rFonts w:ascii="Times New Roman" w:hAnsi="Times New Roman" w:eastAsia="仿宋_GB2312" w:cs="Times New Roman"/>
          <w:b/>
          <w:color w:val="000000"/>
          <w:sz w:val="32"/>
          <w:szCs w:val="28"/>
          <w:highlight w:val="none"/>
        </w:rPr>
      </w:pPr>
      <w:r>
        <w:rPr>
          <w:rFonts w:hint="eastAsia" w:ascii="Times New Roman" w:hAnsi="Times New Roman" w:eastAsia="仿宋_GB2312" w:cs="Times New Roman"/>
          <w:b/>
          <w:color w:val="000000"/>
          <w:sz w:val="32"/>
          <w:szCs w:val="28"/>
          <w:highlight w:val="none"/>
          <w:lang w:val="en-US" w:eastAsia="zh-CN"/>
        </w:rPr>
        <w:t>5</w:t>
      </w:r>
      <w:r>
        <w:rPr>
          <w:rFonts w:hint="eastAsia" w:ascii="Times New Roman" w:hAnsi="Times New Roman" w:eastAsia="仿宋_GB2312" w:cs="Times New Roman"/>
          <w:b/>
          <w:color w:val="000000"/>
          <w:sz w:val="32"/>
          <w:szCs w:val="28"/>
          <w:highlight w:val="none"/>
        </w:rPr>
        <w:t>.提升安全生产执法效能</w:t>
      </w:r>
    </w:p>
    <w:p w14:paraId="309005FE">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8"/>
          <w:highlight w:val="none"/>
          <w:lang w:val="en-US" w:eastAsia="zh-CN"/>
        </w:rPr>
        <w:t>严格规范涉企行政检查，持续推进一体化综合监管，深化分级分类精准监管，严格规范涉企行政检查权，全面执行</w:t>
      </w:r>
      <w:r>
        <w:rPr>
          <w:rFonts w:hint="eastAsia" w:ascii="Times New Roman" w:hAnsi="Times New Roman" w:eastAsia="仿宋_GB2312" w:cs="Times New Roman"/>
          <w:bCs/>
          <w:color w:val="000000"/>
          <w:sz w:val="32"/>
          <w:szCs w:val="28"/>
          <w:highlight w:val="none"/>
        </w:rPr>
        <w:t>“</w:t>
      </w:r>
      <w:r>
        <w:rPr>
          <w:rFonts w:hint="eastAsia" w:ascii="Times New Roman" w:hAnsi="Times New Roman" w:eastAsia="仿宋_GB2312" w:cs="Times New Roman"/>
          <w:bCs/>
          <w:color w:val="000000"/>
          <w:sz w:val="32"/>
          <w:szCs w:val="28"/>
          <w:highlight w:val="none"/>
          <w:lang w:val="en-US" w:eastAsia="zh-CN"/>
        </w:rPr>
        <w:t>一码</w:t>
      </w:r>
      <w:r>
        <w:rPr>
          <w:rFonts w:hint="eastAsia" w:ascii="Times New Roman" w:hAnsi="Times New Roman" w:eastAsia="仿宋_GB2312" w:cs="Times New Roman"/>
          <w:bCs/>
          <w:color w:val="000000"/>
          <w:sz w:val="32"/>
          <w:szCs w:val="28"/>
          <w:highlight w:val="none"/>
        </w:rPr>
        <w:t>检查”</w:t>
      </w:r>
      <w:r>
        <w:rPr>
          <w:rFonts w:hint="eastAsia" w:ascii="Times New Roman" w:hAnsi="Times New Roman" w:eastAsia="仿宋_GB2312" w:cs="Times New Roman"/>
          <w:bCs/>
          <w:color w:val="000000"/>
          <w:sz w:val="32"/>
          <w:szCs w:val="28"/>
          <w:highlight w:val="none"/>
          <w:lang w:val="en-US" w:eastAsia="zh-CN"/>
        </w:rPr>
        <w:t>与</w:t>
      </w:r>
      <w:r>
        <w:rPr>
          <w:rFonts w:hint="eastAsia" w:ascii="仿宋_GB2312" w:hAnsi="仿宋_GB2312" w:eastAsia="仿宋_GB2312" w:cs="仿宋_GB2312"/>
          <w:color w:val="000000"/>
          <w:sz w:val="32"/>
          <w:szCs w:val="32"/>
          <w:highlight w:val="none"/>
        </w:rPr>
        <w:t>“无事不扰”白名单</w:t>
      </w:r>
      <w:r>
        <w:rPr>
          <w:rFonts w:hint="eastAsia" w:ascii="仿宋_GB2312" w:hAnsi="仿宋_GB2312" w:eastAsia="仿宋_GB2312" w:cs="仿宋_GB2312"/>
          <w:color w:val="000000"/>
          <w:sz w:val="32"/>
          <w:szCs w:val="32"/>
          <w:highlight w:val="none"/>
          <w:lang w:val="en-US" w:eastAsia="zh-CN"/>
        </w:rPr>
        <w:t>制度，</w:t>
      </w:r>
      <w:r>
        <w:rPr>
          <w:rFonts w:hint="eastAsia" w:ascii="Times New Roman" w:hAnsi="Times New Roman" w:eastAsia="仿宋_GB2312" w:cs="Times New Roman"/>
          <w:bCs/>
          <w:color w:val="000000"/>
          <w:sz w:val="32"/>
          <w:szCs w:val="20"/>
          <w:highlight w:val="none"/>
        </w:rPr>
        <w:t>不断提升执法检查</w:t>
      </w:r>
      <w:r>
        <w:rPr>
          <w:rFonts w:hint="eastAsia" w:ascii="Times New Roman" w:hAnsi="Times New Roman" w:eastAsia="仿宋_GB2312" w:cs="Times New Roman"/>
          <w:bCs/>
          <w:color w:val="000000"/>
          <w:sz w:val="32"/>
          <w:szCs w:val="20"/>
          <w:highlight w:val="none"/>
          <w:lang w:val="en-US" w:eastAsia="zh-CN"/>
        </w:rPr>
        <w:t>质量和效能</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8"/>
          <w:highlight w:val="none"/>
        </w:rPr>
        <w:t>提升综合执法能力</w:t>
      </w:r>
      <w:r>
        <w:rPr>
          <w:rFonts w:hint="eastAsia" w:ascii="Times New Roman" w:hAnsi="Times New Roman" w:eastAsia="仿宋_GB2312" w:cs="Times New Roman"/>
          <w:bCs/>
          <w:color w:val="000000"/>
          <w:sz w:val="32"/>
          <w:szCs w:val="28"/>
          <w:highlight w:val="none"/>
          <w:lang w:eastAsia="zh-CN"/>
        </w:rPr>
        <w:t>。</w:t>
      </w:r>
      <w:r>
        <w:rPr>
          <w:rFonts w:hint="eastAsia" w:ascii="Times New Roman" w:hAnsi="Times New Roman" w:eastAsia="仿宋_GB2312" w:cs="Times New Roman"/>
          <w:bCs/>
          <w:color w:val="000000"/>
          <w:sz w:val="32"/>
          <w:szCs w:val="28"/>
          <w:highlight w:val="none"/>
          <w:lang w:val="en-US" w:eastAsia="zh-CN"/>
        </w:rPr>
        <w:t>强化科技信息化</w:t>
      </w:r>
      <w:r>
        <w:rPr>
          <w:rFonts w:hint="eastAsia" w:ascii="Times New Roman" w:hAnsi="Times New Roman" w:eastAsia="仿宋_GB2312" w:cs="Times New Roman"/>
          <w:bCs/>
          <w:color w:val="000000"/>
          <w:sz w:val="32"/>
          <w:szCs w:val="20"/>
          <w:highlight w:val="none"/>
        </w:rPr>
        <w:t>赋能执法</w:t>
      </w:r>
      <w:r>
        <w:rPr>
          <w:rFonts w:hint="eastAsia" w:ascii="Times New Roman" w:hAnsi="Times New Roman" w:eastAsia="仿宋_GB2312" w:cs="Times New Roman"/>
          <w:bCs/>
          <w:color w:val="000000"/>
          <w:sz w:val="32"/>
          <w:szCs w:val="20"/>
          <w:highlight w:val="none"/>
          <w:lang w:val="en-US" w:eastAsia="zh-CN"/>
        </w:rPr>
        <w:t>检查</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lang w:val="en-US" w:eastAsia="zh-CN"/>
        </w:rPr>
        <w:t>拓展</w:t>
      </w:r>
      <w:r>
        <w:rPr>
          <w:rFonts w:hint="eastAsia" w:ascii="Times New Roman" w:hAnsi="Times New Roman" w:eastAsia="仿宋_GB2312" w:cs="Times New Roman"/>
          <w:bCs/>
          <w:color w:val="000000"/>
          <w:sz w:val="32"/>
          <w:szCs w:val="20"/>
          <w:highlight w:val="none"/>
        </w:rPr>
        <w:t>非现场监管应用场景，</w:t>
      </w:r>
      <w:r>
        <w:rPr>
          <w:rFonts w:hint="eastAsia" w:ascii="Times New Roman" w:hAnsi="Times New Roman" w:eastAsia="仿宋_GB2312" w:cs="Times New Roman"/>
          <w:bCs/>
          <w:color w:val="000000"/>
          <w:sz w:val="32"/>
          <w:szCs w:val="20"/>
          <w:highlight w:val="none"/>
          <w:lang w:val="en-US" w:eastAsia="zh-CN"/>
        </w:rPr>
        <w:t>持续</w:t>
      </w:r>
      <w:r>
        <w:rPr>
          <w:rFonts w:hint="eastAsia" w:ascii="仿宋_GB2312" w:hAnsi="仿宋_GB2312" w:eastAsia="仿宋_GB2312" w:cs="仿宋_GB2312"/>
          <w:color w:val="000000"/>
          <w:sz w:val="32"/>
          <w:szCs w:val="32"/>
          <w:highlight w:val="none"/>
        </w:rPr>
        <w:t>提升非现场检查比例</w:t>
      </w:r>
      <w:r>
        <w:rPr>
          <w:rFonts w:hint="eastAsia" w:ascii="仿宋_GB2312" w:hAnsi="仿宋_GB2312" w:eastAsia="仿宋_GB2312" w:cs="仿宋_GB2312"/>
          <w:color w:val="000000"/>
          <w:sz w:val="32"/>
          <w:szCs w:val="32"/>
          <w:highlight w:val="none"/>
          <w:lang w:val="en-US" w:eastAsia="zh-CN"/>
        </w:rPr>
        <w:t>和问题发现率</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切实</w:t>
      </w:r>
      <w:r>
        <w:rPr>
          <w:rFonts w:hint="eastAsia" w:ascii="仿宋_GB2312" w:hAnsi="仿宋_GB2312" w:eastAsia="仿宋_GB2312" w:cs="仿宋_GB2312"/>
          <w:color w:val="000000"/>
          <w:sz w:val="32"/>
          <w:szCs w:val="32"/>
          <w:highlight w:val="none"/>
        </w:rPr>
        <w:t>减轻企业负担。建立健全各行业领域</w:t>
      </w:r>
      <w:r>
        <w:rPr>
          <w:rFonts w:hint="eastAsia" w:ascii="仿宋_GB2312" w:hAnsi="仿宋_GB2312" w:eastAsia="仿宋_GB2312" w:cs="仿宋_GB2312"/>
          <w:color w:val="000000"/>
          <w:sz w:val="32"/>
          <w:szCs w:val="32"/>
          <w:highlight w:val="none"/>
          <w:lang w:val="en-US" w:eastAsia="zh-CN"/>
        </w:rPr>
        <w:t>内部隐患报告奖励和</w:t>
      </w:r>
      <w:r>
        <w:rPr>
          <w:rFonts w:hint="eastAsia" w:ascii="仿宋_GB2312" w:hAnsi="仿宋_GB2312" w:eastAsia="仿宋_GB2312" w:cs="仿宋_GB2312"/>
          <w:color w:val="000000"/>
          <w:sz w:val="32"/>
          <w:szCs w:val="32"/>
          <w:highlight w:val="none"/>
        </w:rPr>
        <w:t>安全生产举报制度机制，</w:t>
      </w:r>
      <w:r>
        <w:rPr>
          <w:rFonts w:hint="eastAsia" w:ascii="Times New Roman" w:hAnsi="Times New Roman" w:eastAsia="仿宋_GB2312" w:cs="Times New Roman"/>
          <w:bCs/>
          <w:color w:val="000000"/>
          <w:sz w:val="32"/>
          <w:szCs w:val="28"/>
          <w:highlight w:val="none"/>
        </w:rPr>
        <w:t>推动安全生产共抓共治、共同监督。加快提升执法队伍专业化水平，</w:t>
      </w:r>
      <w:r>
        <w:rPr>
          <w:rFonts w:hint="eastAsia" w:ascii="Times New Roman" w:hAnsi="Times New Roman" w:eastAsia="仿宋_GB2312" w:cs="Times New Roman"/>
          <w:bCs/>
          <w:color w:val="000000"/>
          <w:sz w:val="32"/>
          <w:szCs w:val="28"/>
          <w:highlight w:val="none"/>
          <w:lang w:val="en-US" w:eastAsia="zh-CN"/>
        </w:rPr>
        <w:t>积极参加</w:t>
      </w:r>
      <w:r>
        <w:rPr>
          <w:rFonts w:hint="eastAsia" w:ascii="Times New Roman" w:hAnsi="Times New Roman" w:eastAsia="仿宋_GB2312" w:cs="Times New Roman"/>
          <w:bCs/>
          <w:color w:val="000000"/>
          <w:sz w:val="32"/>
          <w:szCs w:val="28"/>
          <w:highlight w:val="none"/>
        </w:rPr>
        <w:t>岗位技能比武竞赛</w:t>
      </w:r>
      <w:r>
        <w:rPr>
          <w:rFonts w:hint="eastAsia" w:ascii="Times New Roman" w:hAnsi="Times New Roman" w:eastAsia="仿宋_GB2312" w:cs="Times New Roman"/>
          <w:bCs/>
          <w:color w:val="000000"/>
          <w:sz w:val="32"/>
          <w:szCs w:val="28"/>
          <w:highlight w:val="none"/>
          <w:lang w:eastAsia="zh-CN"/>
        </w:rPr>
        <w:t>，</w:t>
      </w:r>
      <w:r>
        <w:rPr>
          <w:rFonts w:hint="eastAsia" w:ascii="Times New Roman" w:hAnsi="Times New Roman" w:eastAsia="仿宋_GB2312" w:cs="Times New Roman"/>
          <w:bCs/>
          <w:color w:val="000000"/>
          <w:sz w:val="32"/>
          <w:szCs w:val="28"/>
          <w:highlight w:val="none"/>
          <w:lang w:val="en-US" w:eastAsia="zh-CN"/>
        </w:rPr>
        <w:t>选拔培养</w:t>
      </w:r>
      <w:r>
        <w:rPr>
          <w:rFonts w:hint="eastAsia" w:ascii="Times New Roman" w:hAnsi="Times New Roman" w:eastAsia="仿宋_GB2312" w:cs="Times New Roman"/>
          <w:bCs/>
          <w:color w:val="000000"/>
          <w:sz w:val="32"/>
          <w:szCs w:val="28"/>
          <w:highlight w:val="none"/>
        </w:rPr>
        <w:t>执法骨干</w:t>
      </w:r>
      <w:r>
        <w:rPr>
          <w:rFonts w:hint="eastAsia" w:ascii="Times New Roman" w:hAnsi="Times New Roman" w:eastAsia="仿宋_GB2312" w:cs="Times New Roman"/>
          <w:bCs/>
          <w:color w:val="000000"/>
          <w:sz w:val="32"/>
          <w:szCs w:val="28"/>
          <w:highlight w:val="none"/>
          <w:lang w:eastAsia="zh-CN"/>
        </w:rPr>
        <w:t>。</w:t>
      </w:r>
      <w:r>
        <w:rPr>
          <w:rFonts w:hint="eastAsia" w:ascii="Times New Roman" w:hAnsi="Times New Roman" w:eastAsia="仿宋_GB2312" w:cs="Times New Roman"/>
          <w:bCs/>
          <w:color w:val="000000"/>
          <w:sz w:val="32"/>
          <w:szCs w:val="28"/>
          <w:highlight w:val="none"/>
        </w:rPr>
        <w:t>鼓励执法人员参加各类专业资质认证考试。建立完善科学考评制度，健全容错纠错机制，减少过度检查、消极避责等问题。强化安全执法帮扶，分级分类对区域高危行业领域生产经营单位指导帮扶，督促指导企业按规定提取和使用安全生产费用。鼓励引导保险机构参与重大事故隐患排查整治工作，丰富保险产品设计和推广，减少安全隐患。</w:t>
      </w:r>
      <w:r>
        <w:rPr>
          <w:rStyle w:val="24"/>
          <w:rFonts w:hint="eastAsia" w:ascii="仿宋_GB2312" w:eastAsia="仿宋_GB2312"/>
          <w:color w:val="000000"/>
          <w:highlight w:val="none"/>
        </w:rPr>
        <w:t>坚持以案促改，</w:t>
      </w:r>
      <w:r>
        <w:rPr>
          <w:rStyle w:val="24"/>
          <w:rFonts w:ascii="仿宋_GB2312" w:eastAsia="仿宋_GB2312"/>
          <w:color w:val="000000"/>
          <w:highlight w:val="none"/>
        </w:rPr>
        <w:t>从严从细落实消隐措施</w:t>
      </w:r>
      <w:r>
        <w:rPr>
          <w:rStyle w:val="24"/>
          <w:rFonts w:hint="eastAsia" w:ascii="仿宋_GB2312" w:eastAsia="仿宋_GB2312"/>
          <w:color w:val="000000"/>
          <w:highlight w:val="none"/>
          <w:lang w:eastAsia="zh-CN"/>
        </w:rPr>
        <w:t>，</w:t>
      </w:r>
      <w:r>
        <w:rPr>
          <w:rFonts w:hint="eastAsia" w:ascii="Times New Roman" w:hAnsi="Times New Roman" w:eastAsia="仿宋_GB2312" w:cs="Times New Roman"/>
          <w:bCs/>
          <w:color w:val="000000"/>
          <w:sz w:val="32"/>
          <w:szCs w:val="20"/>
          <w:highlight w:val="none"/>
        </w:rPr>
        <w:t>防范遏制各类安全生产事故。</w:t>
      </w:r>
      <w:bookmarkStart w:id="169" w:name="OLE_LINK68"/>
      <w:bookmarkStart w:id="170" w:name="OLE_LINK67"/>
    </w:p>
    <w:p w14:paraId="5E8AA309">
      <w:pPr>
        <w:adjustRightInd w:val="0"/>
        <w:snapToGrid w:val="0"/>
        <w:spacing w:line="560" w:lineRule="exact"/>
        <w:ind w:firstLine="640" w:firstLineChars="200"/>
        <w:outlineLvl w:val="1"/>
        <w:rPr>
          <w:rFonts w:hint="eastAsia" w:ascii="Times New Roman" w:hAnsi="Times New Roman" w:eastAsia="楷体_GB2312" w:cs="Times New Roman"/>
          <w:color w:val="000000"/>
          <w:sz w:val="32"/>
          <w:szCs w:val="32"/>
          <w:highlight w:val="none"/>
          <w:lang w:eastAsia="zh-CN"/>
        </w:rPr>
      </w:pPr>
      <w:bookmarkStart w:id="171" w:name="_Toc23696"/>
      <w:bookmarkStart w:id="172" w:name="_Toc28832"/>
      <w:bookmarkStart w:id="173" w:name="_Toc3745"/>
      <w:bookmarkStart w:id="174" w:name="_Toc160"/>
      <w:bookmarkStart w:id="175" w:name="_Toc23482"/>
      <w:bookmarkStart w:id="176" w:name="_Toc7314"/>
      <w:bookmarkStart w:id="177" w:name="_Toc5321"/>
      <w:bookmarkStart w:id="178" w:name="_Toc20887"/>
      <w:bookmarkStart w:id="179" w:name="_Toc28361"/>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三</w:t>
      </w:r>
      <w:r>
        <w:rPr>
          <w:rFonts w:hint="eastAsia" w:ascii="Times New Roman" w:hAnsi="Times New Roman" w:eastAsia="楷体_GB2312" w:cs="Times New Roman"/>
          <w:color w:val="000000"/>
          <w:sz w:val="32"/>
          <w:szCs w:val="32"/>
          <w:highlight w:val="none"/>
        </w:rPr>
        <w:t>）突出关口前移导向，</w:t>
      </w:r>
      <w:r>
        <w:rPr>
          <w:rFonts w:hint="eastAsia" w:ascii="Times New Roman" w:hAnsi="Times New Roman" w:eastAsia="楷体_GB2312" w:cs="Times New Roman"/>
          <w:color w:val="000000"/>
          <w:sz w:val="32"/>
          <w:szCs w:val="32"/>
          <w:highlight w:val="none"/>
          <w:lang w:val="en-US" w:eastAsia="zh-CN"/>
        </w:rPr>
        <w:t>增强</w:t>
      </w:r>
      <w:r>
        <w:rPr>
          <w:rFonts w:hint="eastAsia" w:ascii="Times New Roman" w:hAnsi="Times New Roman" w:eastAsia="楷体_GB2312" w:cs="Times New Roman"/>
          <w:color w:val="000000"/>
          <w:sz w:val="32"/>
          <w:szCs w:val="32"/>
          <w:highlight w:val="none"/>
        </w:rPr>
        <w:t>韧性城市建设能力</w:t>
      </w:r>
      <w:bookmarkEnd w:id="171"/>
      <w:bookmarkEnd w:id="172"/>
      <w:bookmarkEnd w:id="173"/>
      <w:bookmarkEnd w:id="174"/>
      <w:bookmarkEnd w:id="175"/>
      <w:bookmarkEnd w:id="176"/>
      <w:bookmarkEnd w:id="177"/>
      <w:bookmarkEnd w:id="178"/>
      <w:bookmarkEnd w:id="179"/>
      <w:r>
        <w:rPr>
          <w:rFonts w:hint="eastAsia" w:ascii="Times New Roman" w:hAnsi="Times New Roman" w:eastAsia="楷体_GB2312" w:cs="Times New Roman"/>
          <w:color w:val="000000"/>
          <w:sz w:val="32"/>
          <w:szCs w:val="32"/>
          <w:highlight w:val="none"/>
        </w:rPr>
        <w:tab/>
      </w:r>
    </w:p>
    <w:p w14:paraId="378190EF">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rPr>
        <w:t>1.</w:t>
      </w:r>
      <w:r>
        <w:rPr>
          <w:rFonts w:hint="eastAsia" w:ascii="Times New Roman" w:hAnsi="Times New Roman" w:eastAsia="仿宋_GB2312" w:cs="Times New Roman"/>
          <w:b/>
          <w:color w:val="000000"/>
          <w:sz w:val="32"/>
          <w:szCs w:val="20"/>
          <w:highlight w:val="none"/>
          <w:lang w:val="en-US" w:eastAsia="zh-CN"/>
        </w:rPr>
        <w:t>强化城市生命线系统体系建设</w:t>
      </w:r>
    </w:p>
    <w:p w14:paraId="07662CC9">
      <w:pPr>
        <w:adjustRightInd w:val="0"/>
        <w:snapToGrid w:val="0"/>
        <w:spacing w:line="560" w:lineRule="exact"/>
        <w:ind w:firstLine="640" w:firstLineChars="200"/>
        <w:outlineLvl w:val="9"/>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rPr>
        <w:t>以首都功能保障环、城市运行支撑环建设为重点，</w:t>
      </w:r>
      <w:r>
        <w:rPr>
          <w:rFonts w:hint="eastAsia" w:ascii="Times New Roman" w:hAnsi="Times New Roman" w:eastAsia="仿宋_GB2312" w:cs="Times New Roman"/>
          <w:bCs/>
          <w:color w:val="000000"/>
          <w:sz w:val="32"/>
          <w:szCs w:val="28"/>
          <w:highlight w:val="none"/>
          <w:lang w:val="en-US" w:eastAsia="zh-CN"/>
        </w:rPr>
        <w:t>系统推进</w:t>
      </w:r>
      <w:r>
        <w:rPr>
          <w:rFonts w:hint="eastAsia" w:ascii="Times New Roman" w:hAnsi="Times New Roman" w:eastAsia="仿宋_GB2312" w:cs="Times New Roman"/>
          <w:bCs/>
          <w:color w:val="000000"/>
          <w:sz w:val="32"/>
          <w:szCs w:val="28"/>
          <w:highlight w:val="none"/>
        </w:rPr>
        <w:t>城市安全设施</w:t>
      </w:r>
      <w:r>
        <w:rPr>
          <w:rFonts w:hint="eastAsia" w:ascii="Times New Roman" w:hAnsi="Times New Roman" w:eastAsia="仿宋_GB2312" w:cs="Times New Roman"/>
          <w:bCs/>
          <w:color w:val="000000"/>
          <w:sz w:val="32"/>
          <w:szCs w:val="28"/>
          <w:highlight w:val="none"/>
          <w:lang w:val="en-US" w:eastAsia="zh-CN"/>
        </w:rPr>
        <w:t>强化，</w:t>
      </w:r>
      <w:r>
        <w:rPr>
          <w:rFonts w:hint="eastAsia" w:ascii="Times New Roman" w:hAnsi="Times New Roman" w:eastAsia="仿宋_GB2312" w:cs="Times New Roman"/>
          <w:bCs/>
          <w:color w:val="000000"/>
          <w:sz w:val="32"/>
          <w:szCs w:val="28"/>
          <w:highlight w:val="none"/>
        </w:rPr>
        <w:t>重点增强供电、供水、供气系统的多源供应和互为备份能力，推进老旧管网更新和地下综合管廊建设，强化燃气管道、高压电缆、输水干管等关键设施</w:t>
      </w:r>
      <w:r>
        <w:rPr>
          <w:rFonts w:hint="eastAsia" w:ascii="Times New Roman" w:hAnsi="Times New Roman" w:eastAsia="仿宋_GB2312" w:cs="Times New Roman"/>
          <w:bCs/>
          <w:color w:val="000000"/>
          <w:sz w:val="32"/>
          <w:szCs w:val="28"/>
          <w:highlight w:val="none"/>
          <w:lang w:val="en-US" w:eastAsia="zh-CN"/>
        </w:rPr>
        <w:t>的</w:t>
      </w:r>
      <w:r>
        <w:rPr>
          <w:rFonts w:hint="eastAsia" w:ascii="Times New Roman" w:hAnsi="Times New Roman" w:eastAsia="仿宋_GB2312" w:cs="Times New Roman"/>
          <w:bCs/>
          <w:color w:val="000000"/>
          <w:sz w:val="32"/>
          <w:szCs w:val="28"/>
          <w:highlight w:val="none"/>
        </w:rPr>
        <w:t>动态监测与防护，</w:t>
      </w:r>
      <w:r>
        <w:rPr>
          <w:rFonts w:hint="eastAsia" w:ascii="Times New Roman" w:hAnsi="Times New Roman" w:eastAsia="仿宋_GB2312" w:cs="Times New Roman"/>
          <w:bCs/>
          <w:color w:val="000000"/>
          <w:sz w:val="32"/>
          <w:szCs w:val="28"/>
          <w:highlight w:val="none"/>
          <w:lang w:val="en-US" w:eastAsia="zh-CN"/>
        </w:rPr>
        <w:t>有效控制</w:t>
      </w:r>
      <w:r>
        <w:rPr>
          <w:rFonts w:hint="eastAsia" w:ascii="Times New Roman" w:hAnsi="Times New Roman" w:eastAsia="仿宋_GB2312" w:cs="Times New Roman"/>
          <w:bCs/>
          <w:color w:val="000000"/>
          <w:sz w:val="32"/>
          <w:szCs w:val="28"/>
          <w:highlight w:val="none"/>
        </w:rPr>
        <w:t>系统性运行风险。</w:t>
      </w:r>
      <w:r>
        <w:rPr>
          <w:rFonts w:hint="eastAsia" w:ascii="Times New Roman" w:hAnsi="Times New Roman" w:eastAsia="仿宋_GB2312" w:cs="Times New Roman"/>
          <w:bCs/>
          <w:color w:val="000000"/>
          <w:sz w:val="32"/>
          <w:szCs w:val="28"/>
          <w:highlight w:val="none"/>
          <w:lang w:val="en-US" w:eastAsia="zh-CN"/>
        </w:rPr>
        <w:t>推动</w:t>
      </w:r>
      <w:r>
        <w:rPr>
          <w:rFonts w:hint="eastAsia" w:ascii="Times New Roman" w:hAnsi="Times New Roman" w:eastAsia="仿宋_GB2312" w:cs="Times New Roman"/>
          <w:bCs/>
          <w:color w:val="000000"/>
          <w:sz w:val="32"/>
          <w:szCs w:val="28"/>
          <w:highlight w:val="none"/>
        </w:rPr>
        <w:t>“城市大脑”与韧性</w:t>
      </w:r>
      <w:r>
        <w:rPr>
          <w:rFonts w:hint="eastAsia" w:ascii="Times New Roman" w:hAnsi="Times New Roman" w:eastAsia="仿宋_GB2312" w:cs="Times New Roman"/>
          <w:bCs/>
          <w:color w:val="000000"/>
          <w:sz w:val="32"/>
          <w:szCs w:val="28"/>
          <w:highlight w:val="none"/>
          <w:lang w:val="en-US" w:eastAsia="zh-CN"/>
        </w:rPr>
        <w:t>城市建设</w:t>
      </w:r>
      <w:r>
        <w:rPr>
          <w:rFonts w:hint="eastAsia" w:ascii="Times New Roman" w:hAnsi="Times New Roman" w:eastAsia="仿宋_GB2312" w:cs="Times New Roman"/>
          <w:bCs/>
          <w:color w:val="000000"/>
          <w:sz w:val="32"/>
          <w:szCs w:val="28"/>
          <w:highlight w:val="none"/>
        </w:rPr>
        <w:t>融合，依托物联网</w:t>
      </w:r>
      <w:r>
        <w:rPr>
          <w:rFonts w:hint="eastAsia" w:ascii="Times New Roman" w:hAnsi="Times New Roman" w:eastAsia="仿宋_GB2312" w:cs="Times New Roman"/>
          <w:bCs/>
          <w:color w:val="000000"/>
          <w:sz w:val="32"/>
          <w:szCs w:val="28"/>
          <w:highlight w:val="none"/>
          <w:lang w:val="en-US" w:eastAsia="zh-CN"/>
        </w:rPr>
        <w:t>和</w:t>
      </w:r>
      <w:r>
        <w:rPr>
          <w:rFonts w:hint="eastAsia" w:ascii="Times New Roman" w:hAnsi="Times New Roman" w:eastAsia="仿宋_GB2312" w:cs="Times New Roman"/>
          <w:bCs/>
          <w:color w:val="000000"/>
          <w:sz w:val="32"/>
          <w:szCs w:val="28"/>
          <w:highlight w:val="none"/>
        </w:rPr>
        <w:t>大数据手段</w:t>
      </w:r>
      <w:r>
        <w:rPr>
          <w:rFonts w:hint="eastAsia" w:ascii="Times New Roman" w:hAnsi="Times New Roman" w:eastAsia="仿宋_GB2312" w:cs="Times New Roman"/>
          <w:bCs/>
          <w:color w:val="000000"/>
          <w:sz w:val="32"/>
          <w:szCs w:val="28"/>
          <w:highlight w:val="none"/>
          <w:lang w:eastAsia="zh-CN"/>
        </w:rPr>
        <w:t>，</w:t>
      </w:r>
      <w:r>
        <w:rPr>
          <w:rFonts w:hint="eastAsia" w:ascii="Times New Roman" w:hAnsi="Times New Roman" w:eastAsia="仿宋_GB2312" w:cs="Times New Roman"/>
          <w:bCs/>
          <w:color w:val="000000"/>
          <w:sz w:val="32"/>
          <w:szCs w:val="28"/>
          <w:highlight w:val="none"/>
        </w:rPr>
        <w:t>实现</w:t>
      </w:r>
      <w:r>
        <w:rPr>
          <w:rFonts w:hint="eastAsia" w:ascii="Times New Roman" w:hAnsi="Times New Roman" w:eastAsia="仿宋_GB2312" w:cs="Times New Roman"/>
          <w:bCs/>
          <w:color w:val="000000"/>
          <w:sz w:val="32"/>
          <w:szCs w:val="28"/>
          <w:highlight w:val="none"/>
          <w:lang w:val="en-US" w:eastAsia="zh-CN"/>
        </w:rPr>
        <w:t>对</w:t>
      </w:r>
      <w:r>
        <w:rPr>
          <w:rFonts w:hint="eastAsia" w:ascii="Times New Roman" w:hAnsi="Times New Roman" w:eastAsia="仿宋_GB2312" w:cs="Times New Roman"/>
          <w:bCs/>
          <w:color w:val="000000"/>
          <w:sz w:val="32"/>
          <w:szCs w:val="28"/>
          <w:highlight w:val="none"/>
        </w:rPr>
        <w:t>管线泄漏、破损和运行异常的智能预警与快速处置。完善疏散救援通道网络，以高等级道路为主体，重要地面道路为</w:t>
      </w:r>
      <w:r>
        <w:rPr>
          <w:rFonts w:hint="eastAsia" w:ascii="Times New Roman" w:hAnsi="Times New Roman" w:eastAsia="仿宋_GB2312" w:cs="Times New Roman"/>
          <w:bCs/>
          <w:color w:val="000000"/>
          <w:sz w:val="32"/>
          <w:szCs w:val="28"/>
          <w:highlight w:val="none"/>
          <w:lang w:val="en-US" w:eastAsia="zh-CN"/>
        </w:rPr>
        <w:t>补充</w:t>
      </w:r>
      <w:r>
        <w:rPr>
          <w:rFonts w:hint="eastAsia" w:ascii="Times New Roman" w:hAnsi="Times New Roman" w:eastAsia="仿宋_GB2312" w:cs="Times New Roman"/>
          <w:bCs/>
          <w:color w:val="000000"/>
          <w:sz w:val="32"/>
          <w:szCs w:val="28"/>
          <w:highlight w:val="none"/>
        </w:rPr>
        <w:t>，遵循供需匹配、适量冗余、安全可靠的原则，布置一、二、三级应急疏散救援通道，保障主干路网畅通和工程韧性。结合城市更新，打通断头路，增加路网密度，优化交叉口设计，提升道路网络连通性和韧性。推动“留白增绿”与防灾空间建设相结合，充分利用公园绿地、体育场馆、学校操场等开敞空间，嵌建应急避难、物资储备和指挥调度功能，形成平时服务、急时应急的平急两用设施体系。</w:t>
      </w:r>
      <w:r>
        <w:rPr>
          <w:rFonts w:hint="eastAsia" w:ascii="Times New Roman" w:hAnsi="Times New Roman" w:eastAsia="仿宋_GB2312" w:cs="Times New Roman"/>
          <w:bCs/>
          <w:color w:val="000000"/>
          <w:sz w:val="32"/>
          <w:szCs w:val="28"/>
          <w:highlight w:val="none"/>
          <w:lang w:val="en-US" w:eastAsia="zh-CN"/>
        </w:rPr>
        <w:t>加强</w:t>
      </w:r>
      <w:r>
        <w:rPr>
          <w:rFonts w:hint="eastAsia" w:ascii="Times New Roman" w:hAnsi="Times New Roman" w:eastAsia="仿宋_GB2312" w:cs="Times New Roman"/>
          <w:bCs/>
          <w:color w:val="000000"/>
          <w:sz w:val="32"/>
          <w:szCs w:val="28"/>
          <w:highlight w:val="none"/>
        </w:rPr>
        <w:t>地下空间智能监测与管理，运用传感器与物联网技术实现隐患自动预警，加快城市地下管线GIS系统建设。推进综合管廊统筹规划、集约建设和标准化运维，持续开展隐患排查，建立动态数据库，重点整治老旧管线腐蚀问题，优先实施高风险区域管线更新改造。</w:t>
      </w:r>
    </w:p>
    <w:p w14:paraId="4FA2FA22">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lang w:val="en-US" w:eastAsia="zh-CN"/>
        </w:rPr>
        <w:t>2</w:t>
      </w:r>
      <w:r>
        <w:rPr>
          <w:rFonts w:hint="eastAsia" w:ascii="Times New Roman" w:hAnsi="Times New Roman" w:eastAsia="仿宋_GB2312" w:cs="Times New Roman"/>
          <w:b/>
          <w:color w:val="000000"/>
          <w:sz w:val="32"/>
          <w:szCs w:val="20"/>
          <w:highlight w:val="none"/>
        </w:rPr>
        <w:t>.</w:t>
      </w:r>
      <w:r>
        <w:rPr>
          <w:rFonts w:hint="eastAsia" w:ascii="Times New Roman" w:hAnsi="Times New Roman" w:eastAsia="仿宋_GB2312" w:cs="Times New Roman"/>
          <w:b/>
          <w:color w:val="000000"/>
          <w:sz w:val="32"/>
          <w:szCs w:val="20"/>
          <w:highlight w:val="none"/>
          <w:lang w:val="en-US" w:eastAsia="zh-CN"/>
        </w:rPr>
        <w:t>健全</w:t>
      </w:r>
      <w:r>
        <w:rPr>
          <w:rFonts w:hint="eastAsia" w:ascii="Times New Roman" w:hAnsi="Times New Roman" w:eastAsia="仿宋_GB2312" w:cs="Times New Roman"/>
          <w:b/>
          <w:color w:val="000000"/>
          <w:sz w:val="32"/>
          <w:szCs w:val="20"/>
          <w:highlight w:val="none"/>
        </w:rPr>
        <w:t>风险评估</w:t>
      </w:r>
      <w:r>
        <w:rPr>
          <w:rFonts w:hint="eastAsia" w:ascii="Times New Roman" w:hAnsi="Times New Roman" w:eastAsia="仿宋_GB2312" w:cs="Times New Roman"/>
          <w:b/>
          <w:color w:val="000000"/>
          <w:sz w:val="32"/>
          <w:szCs w:val="20"/>
          <w:highlight w:val="none"/>
          <w:lang w:val="en-US" w:eastAsia="zh-CN"/>
        </w:rPr>
        <w:t>与精细化治理机制</w:t>
      </w:r>
    </w:p>
    <w:p w14:paraId="5A9C918B">
      <w:pPr>
        <w:adjustRightInd w:val="0"/>
        <w:snapToGrid w:val="0"/>
        <w:spacing w:line="560" w:lineRule="exact"/>
        <w:ind w:firstLine="640" w:firstLineChars="200"/>
        <w:rPr>
          <w:rFonts w:hint="default" w:ascii="Times New Roman" w:hAnsi="Times New Roman" w:eastAsia="仿宋_GB2312" w:cs="Times New Roman"/>
          <w:bCs/>
          <w:color w:val="000000"/>
          <w:sz w:val="32"/>
          <w:szCs w:val="28"/>
          <w:highlight w:val="none"/>
          <w:lang w:val="en-US"/>
        </w:rPr>
      </w:pPr>
      <w:r>
        <w:rPr>
          <w:rFonts w:hint="default" w:ascii="Times New Roman" w:hAnsi="Times New Roman" w:eastAsia="仿宋_GB2312" w:cs="Times New Roman"/>
          <w:bCs/>
          <w:color w:val="000000"/>
          <w:sz w:val="32"/>
          <w:szCs w:val="28"/>
          <w:highlight w:val="none"/>
        </w:rPr>
        <w:t>聚焦道路交通、消防、危险化学品、建筑施工、工业企业及城市运行等重点领域，推行风险分级管控与隐患排查治理双重预防机制，建立动态风险清单、隐患台账与责任链条，实现企业自查、部门核查、属地督查的闭环管理。稳步提升基层森林火灾防治能力，严防重特大森林火灾，力争重要区域、重点时段不冒烟不起火，全力防范化解森林火灾风险。高度重视新产业、新业态衍生的新型风险，强化对新能源充电桩、高危游乐设施、无人机、网约车等的风险评估与监管干预。完善联防联控与协同处置机制，提升复杂事故与灾害情景下的快速响应和多力协调效能。持续推进自然灾害综合风险普查成果应用，开展区域灾害风险评估与区划编制，明确洪涝、地震、地质灾害等重点防控区域与措施。</w:t>
      </w:r>
    </w:p>
    <w:p w14:paraId="6A142B24">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lang w:val="en-US" w:eastAsia="zh-CN"/>
        </w:rPr>
        <w:t>3</w:t>
      </w:r>
      <w:r>
        <w:rPr>
          <w:rFonts w:hint="eastAsia" w:ascii="Times New Roman" w:hAnsi="Times New Roman" w:eastAsia="仿宋_GB2312" w:cs="Times New Roman"/>
          <w:b/>
          <w:color w:val="000000"/>
          <w:sz w:val="32"/>
          <w:szCs w:val="20"/>
          <w:highlight w:val="none"/>
        </w:rPr>
        <w:t>.</w:t>
      </w:r>
      <w:r>
        <w:rPr>
          <w:rFonts w:hint="eastAsia" w:ascii="Times New Roman" w:hAnsi="Times New Roman" w:eastAsia="仿宋_GB2312" w:cs="Times New Roman"/>
          <w:b/>
          <w:color w:val="000000"/>
          <w:sz w:val="32"/>
          <w:szCs w:val="20"/>
          <w:highlight w:val="none"/>
          <w:lang w:val="en-US" w:eastAsia="zh-CN"/>
        </w:rPr>
        <w:t>构建</w:t>
      </w:r>
      <w:r>
        <w:rPr>
          <w:rFonts w:hint="eastAsia" w:ascii="Times New Roman" w:hAnsi="Times New Roman" w:eastAsia="仿宋_GB2312" w:cs="Times New Roman"/>
          <w:b/>
          <w:color w:val="000000"/>
          <w:sz w:val="32"/>
          <w:szCs w:val="20"/>
          <w:highlight w:val="none"/>
        </w:rPr>
        <w:t>风险监测</w:t>
      </w:r>
      <w:r>
        <w:rPr>
          <w:rFonts w:hint="eastAsia" w:ascii="Times New Roman" w:hAnsi="Times New Roman" w:eastAsia="仿宋_GB2312" w:cs="Times New Roman"/>
          <w:b/>
          <w:color w:val="000000"/>
          <w:sz w:val="32"/>
          <w:szCs w:val="20"/>
          <w:highlight w:val="none"/>
          <w:lang w:val="en-US" w:eastAsia="zh-CN"/>
        </w:rPr>
        <w:t>预警与响应体系</w:t>
      </w:r>
    </w:p>
    <w:p w14:paraId="57BAF74C">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完善“区—街乡—社区（村）”三级灾害监测预警网络，推动监测终端向基层延伸，实现危险源、关键基础设施和重点公共场所全覆盖。</w:t>
      </w:r>
      <w:r>
        <w:rPr>
          <w:rFonts w:hint="eastAsia" w:ascii="Times New Roman" w:hAnsi="Times New Roman" w:eastAsia="仿宋_GB2312" w:cs="Times New Roman"/>
          <w:bCs/>
          <w:color w:val="000000"/>
          <w:sz w:val="32"/>
          <w:szCs w:val="20"/>
          <w:highlight w:val="none"/>
          <w:lang w:val="en-US" w:eastAsia="zh-CN"/>
        </w:rPr>
        <w:t>加强</w:t>
      </w:r>
      <w:r>
        <w:rPr>
          <w:rFonts w:hint="eastAsia" w:ascii="Times New Roman" w:hAnsi="Times New Roman" w:eastAsia="仿宋_GB2312" w:cs="Times New Roman"/>
          <w:bCs/>
          <w:color w:val="000000"/>
          <w:sz w:val="32"/>
          <w:szCs w:val="20"/>
          <w:highlight w:val="none"/>
        </w:rPr>
        <w:t>气象、</w:t>
      </w:r>
      <w:r>
        <w:rPr>
          <w:rFonts w:hint="eastAsia" w:ascii="Times New Roman" w:hAnsi="Times New Roman" w:eastAsia="仿宋_GB2312" w:cs="Times New Roman"/>
          <w:bCs/>
          <w:color w:val="000000"/>
          <w:sz w:val="32"/>
          <w:szCs w:val="20"/>
          <w:highlight w:val="none"/>
          <w:lang w:val="en-US" w:eastAsia="zh-CN"/>
        </w:rPr>
        <w:t>水文</w:t>
      </w:r>
      <w:r>
        <w:rPr>
          <w:rFonts w:hint="eastAsia" w:ascii="Times New Roman" w:hAnsi="Times New Roman" w:eastAsia="仿宋_GB2312" w:cs="Times New Roman"/>
          <w:bCs/>
          <w:color w:val="000000"/>
          <w:sz w:val="32"/>
          <w:szCs w:val="20"/>
          <w:highlight w:val="none"/>
        </w:rPr>
        <w:t>、地质灾害监测预报</w:t>
      </w:r>
      <w:r>
        <w:rPr>
          <w:rFonts w:hint="eastAsia" w:ascii="Times New Roman" w:hAnsi="Times New Roman" w:eastAsia="仿宋_GB2312" w:cs="Times New Roman"/>
          <w:bCs/>
          <w:color w:val="000000"/>
          <w:sz w:val="32"/>
          <w:szCs w:val="20"/>
          <w:highlight w:val="none"/>
          <w:lang w:val="en-US" w:eastAsia="zh-CN"/>
        </w:rPr>
        <w:t>预警</w:t>
      </w:r>
      <w:r>
        <w:rPr>
          <w:rFonts w:hint="eastAsia" w:ascii="Times New Roman" w:hAnsi="Times New Roman" w:eastAsia="仿宋_GB2312" w:cs="Times New Roman"/>
          <w:bCs/>
          <w:color w:val="000000"/>
          <w:sz w:val="32"/>
          <w:szCs w:val="20"/>
          <w:highlight w:val="none"/>
        </w:rPr>
        <w:t>，提高防灾减灾救灾和重大突发公共事件处置保障能力</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优化预警信息发布与政策传导机制，拓展广播、电视、新媒体、社区屏、智能喇叭等多元发布渠道，着力破解“最后一公里”问题，确保预警信息到户到人。强化对老年人、残障人士、外来游客等特殊群体的预警服务，推行“人防+技防”结合的应急叫应机制，实现预警响应全覆盖。加强AI、数字孪生、大模型等新技术在风险识别、模拟推演与智能决策中的应用，推动风险防控由被动应对向主动干预转变。重点开发高层建筑、地下空间、生命线工程及人员密集场所的专业预警模型，实现风险早识别、早预警、早处置。</w:t>
      </w:r>
    </w:p>
    <w:p w14:paraId="47A8E3BF">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lang w:val="en-US" w:eastAsia="zh-CN"/>
        </w:rPr>
        <w:t>4</w:t>
      </w:r>
      <w:r>
        <w:rPr>
          <w:rFonts w:hint="eastAsia" w:ascii="Times New Roman" w:hAnsi="Times New Roman" w:eastAsia="仿宋_GB2312" w:cs="Times New Roman"/>
          <w:b/>
          <w:color w:val="000000"/>
          <w:sz w:val="32"/>
          <w:szCs w:val="20"/>
          <w:highlight w:val="none"/>
        </w:rPr>
        <w:t>.</w:t>
      </w:r>
      <w:r>
        <w:rPr>
          <w:rFonts w:hint="eastAsia" w:ascii="Times New Roman" w:hAnsi="Times New Roman" w:eastAsia="仿宋_GB2312" w:cs="Times New Roman"/>
          <w:b/>
          <w:color w:val="000000"/>
          <w:sz w:val="32"/>
          <w:szCs w:val="20"/>
          <w:highlight w:val="none"/>
          <w:lang w:val="en-US" w:eastAsia="zh-CN"/>
        </w:rPr>
        <w:t>全面增强城市综合保障韧性</w:t>
      </w:r>
    </w:p>
    <w:p w14:paraId="06B7828C">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建设城市运行风险感知平台，集成气象、地质、交通等多源数据，实现灾害预警、模拟推演和智能调度，提升精细化治理水平。完善公共安全体系，推动公共安全治理模式向事前预防转型。常态化开展“九小场所”、人员密集场所、城乡结合部、经营性自建房、住宅小区、有限空间和森林火险区等隐患排查，推进燃气、电力管网智能化改造，实施排水防涝设施升级和防火通道建设，系统提升基础设施韧性。增强学校、医院、老旧小区等重要建筑抗灾能力，推广抗震加固新技术，建立基础设施定期评估制度，开展区域灾害风险调查与防灾能力评估，绘制风险区划图，实现隐患清单动态管理。强化重大活动韧性保障，针对全国两会、国庆及国际性会展等时段，</w:t>
      </w:r>
      <w:r>
        <w:rPr>
          <w:rFonts w:hint="eastAsia" w:ascii="Times New Roman" w:hAnsi="Times New Roman" w:eastAsia="仿宋_GB2312" w:cs="Times New Roman"/>
          <w:bCs/>
          <w:color w:val="000000"/>
          <w:sz w:val="32"/>
          <w:szCs w:val="20"/>
          <w:highlight w:val="none"/>
          <w:lang w:val="en-US" w:eastAsia="zh-CN"/>
        </w:rPr>
        <w:t>加强</w:t>
      </w:r>
      <w:r>
        <w:rPr>
          <w:rFonts w:hint="eastAsia" w:ascii="Times New Roman" w:hAnsi="Times New Roman" w:eastAsia="仿宋_GB2312" w:cs="Times New Roman"/>
          <w:bCs/>
          <w:color w:val="000000"/>
          <w:sz w:val="32"/>
          <w:szCs w:val="20"/>
          <w:highlight w:val="none"/>
        </w:rPr>
        <w:t>国家会议中心</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CBD、</w:t>
      </w:r>
      <w:r>
        <w:rPr>
          <w:rFonts w:hint="eastAsia" w:ascii="Times New Roman" w:hAnsi="Times New Roman" w:eastAsia="仿宋_GB2312" w:cs="Times New Roman"/>
          <w:bCs/>
          <w:color w:val="000000"/>
          <w:sz w:val="32"/>
          <w:szCs w:val="20"/>
          <w:highlight w:val="none"/>
          <w:lang w:val="en-US" w:eastAsia="zh-CN"/>
        </w:rPr>
        <w:t>文化街区</w:t>
      </w:r>
      <w:r>
        <w:rPr>
          <w:rFonts w:hint="eastAsia" w:ascii="Times New Roman" w:hAnsi="Times New Roman" w:eastAsia="仿宋_GB2312" w:cs="Times New Roman"/>
          <w:bCs/>
          <w:color w:val="000000"/>
          <w:sz w:val="32"/>
          <w:szCs w:val="20"/>
          <w:highlight w:val="none"/>
        </w:rPr>
        <w:t>等</w:t>
      </w:r>
      <w:r>
        <w:rPr>
          <w:rFonts w:hint="eastAsia" w:ascii="Times New Roman" w:hAnsi="Times New Roman" w:eastAsia="仿宋_GB2312" w:cs="Times New Roman"/>
          <w:bCs/>
          <w:color w:val="000000"/>
          <w:sz w:val="32"/>
          <w:szCs w:val="20"/>
          <w:highlight w:val="none"/>
          <w:lang w:val="en-US" w:eastAsia="zh-CN"/>
        </w:rPr>
        <w:t>重点区域巡查</w:t>
      </w:r>
      <w:r>
        <w:rPr>
          <w:rFonts w:hint="eastAsia" w:ascii="Times New Roman" w:hAnsi="Times New Roman" w:eastAsia="仿宋_GB2312" w:cs="Times New Roman"/>
          <w:bCs/>
          <w:color w:val="000000"/>
          <w:sz w:val="32"/>
          <w:szCs w:val="20"/>
          <w:highlight w:val="none"/>
        </w:rPr>
        <w:t>，完善重大会议会展、文化体育活动的应急保障方案。集成应用热力图、人流监控、智能安检等技术，实现大人流实时监测和风险预警，落实点位责任、线路保障和区域联动，确保重大活动安全、有序、圆满举办。</w:t>
      </w:r>
    </w:p>
    <w:bookmarkEnd w:id="169"/>
    <w:bookmarkEnd w:id="170"/>
    <w:p w14:paraId="40AED14A">
      <w:pPr>
        <w:adjustRightInd w:val="0"/>
        <w:snapToGrid w:val="0"/>
        <w:spacing w:line="560" w:lineRule="exact"/>
        <w:ind w:firstLine="640" w:firstLineChars="200"/>
        <w:outlineLvl w:val="1"/>
        <w:rPr>
          <w:rFonts w:ascii="Times New Roman" w:hAnsi="Times New Roman" w:eastAsia="楷体_GB2312" w:cs="Times New Roman"/>
          <w:color w:val="000000"/>
          <w:sz w:val="32"/>
          <w:szCs w:val="32"/>
          <w:highlight w:val="none"/>
        </w:rPr>
      </w:pPr>
      <w:bookmarkStart w:id="180" w:name="_Toc4681"/>
      <w:bookmarkStart w:id="181" w:name="_Toc17434"/>
      <w:bookmarkStart w:id="182" w:name="_Toc18392"/>
      <w:bookmarkStart w:id="183" w:name="_Toc26948"/>
      <w:bookmarkStart w:id="184" w:name="_Toc9559"/>
      <w:bookmarkStart w:id="185" w:name="_Toc17512"/>
      <w:bookmarkStart w:id="186" w:name="_Toc17397"/>
      <w:bookmarkStart w:id="187" w:name="_Toc12698"/>
      <w:bookmarkStart w:id="188" w:name="_Toc20254"/>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四</w:t>
      </w:r>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聚焦</w:t>
      </w:r>
      <w:r>
        <w:rPr>
          <w:rFonts w:hint="eastAsia" w:ascii="Times New Roman" w:hAnsi="Times New Roman" w:eastAsia="楷体_GB2312" w:cs="Times New Roman"/>
          <w:color w:val="000000"/>
          <w:sz w:val="32"/>
          <w:szCs w:val="32"/>
          <w:highlight w:val="none"/>
        </w:rPr>
        <w:t>应急救援</w:t>
      </w:r>
      <w:r>
        <w:rPr>
          <w:rFonts w:hint="eastAsia" w:ascii="Times New Roman" w:hAnsi="Times New Roman" w:eastAsia="楷体_GB2312" w:cs="Times New Roman"/>
          <w:color w:val="000000"/>
          <w:sz w:val="32"/>
          <w:szCs w:val="32"/>
          <w:highlight w:val="none"/>
          <w:lang w:val="en-US" w:eastAsia="zh-CN"/>
        </w:rPr>
        <w:t>实战</w:t>
      </w:r>
      <w:r>
        <w:rPr>
          <w:rFonts w:hint="eastAsia" w:ascii="Times New Roman" w:hAnsi="Times New Roman" w:eastAsia="楷体_GB2312" w:cs="Times New Roman"/>
          <w:color w:val="000000"/>
          <w:sz w:val="32"/>
          <w:szCs w:val="32"/>
          <w:highlight w:val="none"/>
        </w:rPr>
        <w:t>，增强综合应急处理能力</w:t>
      </w:r>
      <w:bookmarkEnd w:id="180"/>
      <w:bookmarkEnd w:id="181"/>
      <w:bookmarkEnd w:id="182"/>
      <w:bookmarkEnd w:id="183"/>
      <w:bookmarkEnd w:id="184"/>
      <w:bookmarkEnd w:id="185"/>
      <w:bookmarkEnd w:id="186"/>
      <w:bookmarkEnd w:id="187"/>
      <w:bookmarkEnd w:id="188"/>
    </w:p>
    <w:p w14:paraId="11578885">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1.</w:t>
      </w:r>
      <w:r>
        <w:rPr>
          <w:rFonts w:hint="eastAsia" w:ascii="Times New Roman" w:hAnsi="Times New Roman" w:eastAsia="仿宋_GB2312" w:cs="Times New Roman"/>
          <w:b/>
          <w:color w:val="000000"/>
          <w:sz w:val="32"/>
          <w:szCs w:val="20"/>
          <w:highlight w:val="none"/>
          <w:lang w:val="en-US" w:eastAsia="zh-CN"/>
        </w:rPr>
        <w:t>加强</w:t>
      </w:r>
      <w:r>
        <w:rPr>
          <w:rFonts w:hint="eastAsia" w:ascii="Times New Roman" w:hAnsi="Times New Roman" w:eastAsia="仿宋_GB2312" w:cs="Times New Roman"/>
          <w:b/>
          <w:color w:val="000000"/>
          <w:sz w:val="32"/>
          <w:szCs w:val="20"/>
          <w:highlight w:val="none"/>
        </w:rPr>
        <w:t>应急预案管理</w:t>
      </w:r>
    </w:p>
    <w:p w14:paraId="35111180">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lang w:eastAsia="zh-CN"/>
        </w:rPr>
      </w:pPr>
      <w:r>
        <w:rPr>
          <w:rFonts w:hint="eastAsia" w:ascii="Times New Roman" w:hAnsi="Times New Roman" w:eastAsia="仿宋_GB2312" w:cs="Times New Roman"/>
          <w:bCs/>
          <w:color w:val="000000"/>
          <w:sz w:val="32"/>
          <w:szCs w:val="20"/>
          <w:highlight w:val="none"/>
        </w:rPr>
        <w:t>增强应急预案的实用性、可操作性，及时修订完善总体预案、各专项预案和部门预案。围绕重大活动，做好重大活动保障应急预案。针对朝阳区主要灾害事故类型，加强街</w:t>
      </w:r>
      <w:r>
        <w:rPr>
          <w:rFonts w:hint="eastAsia" w:ascii="Times New Roman" w:hAnsi="Times New Roman" w:eastAsia="仿宋_GB2312" w:cs="Times New Roman"/>
          <w:bCs/>
          <w:color w:val="000000"/>
          <w:sz w:val="32"/>
          <w:szCs w:val="20"/>
          <w:highlight w:val="none"/>
          <w:lang w:eastAsia="zh-CN"/>
        </w:rPr>
        <w:t>乡</w:t>
      </w:r>
      <w:r>
        <w:rPr>
          <w:rFonts w:hint="eastAsia" w:ascii="Times New Roman" w:hAnsi="Times New Roman" w:eastAsia="仿宋_GB2312" w:cs="Times New Roman"/>
          <w:bCs/>
          <w:color w:val="000000"/>
          <w:sz w:val="32"/>
          <w:szCs w:val="20"/>
          <w:highlight w:val="none"/>
        </w:rPr>
        <w:t>、社区</w:t>
      </w:r>
      <w:r>
        <w:rPr>
          <w:rFonts w:hint="eastAsia" w:ascii="Times New Roman" w:hAnsi="Times New Roman" w:eastAsia="仿宋_GB2312" w:cs="Times New Roman"/>
          <w:bCs/>
          <w:color w:val="000000"/>
          <w:sz w:val="32"/>
          <w:szCs w:val="20"/>
          <w:highlight w:val="none"/>
          <w:lang w:eastAsia="zh-CN"/>
        </w:rPr>
        <w:t>（村）</w:t>
      </w:r>
      <w:r>
        <w:rPr>
          <w:rFonts w:hint="eastAsia" w:ascii="Times New Roman" w:hAnsi="Times New Roman" w:eastAsia="仿宋_GB2312" w:cs="Times New Roman"/>
          <w:bCs/>
          <w:color w:val="000000"/>
          <w:sz w:val="32"/>
          <w:szCs w:val="20"/>
          <w:highlight w:val="none"/>
        </w:rPr>
        <w:t>、企事业单位、居民小区应急预案</w:t>
      </w:r>
      <w:r>
        <w:rPr>
          <w:rFonts w:hint="eastAsia" w:ascii="Times New Roman" w:hAnsi="Times New Roman" w:eastAsia="仿宋_GB2312" w:cs="Times New Roman"/>
          <w:bCs/>
          <w:color w:val="000000"/>
          <w:sz w:val="32"/>
          <w:szCs w:val="20"/>
          <w:highlight w:val="none"/>
          <w:lang w:eastAsia="zh-CN"/>
        </w:rPr>
        <w:t>（方案）</w:t>
      </w:r>
      <w:r>
        <w:rPr>
          <w:rFonts w:hint="eastAsia" w:ascii="Times New Roman" w:hAnsi="Times New Roman" w:eastAsia="仿宋_GB2312" w:cs="Times New Roman"/>
          <w:bCs/>
          <w:color w:val="000000"/>
          <w:sz w:val="32"/>
          <w:szCs w:val="20"/>
          <w:highlight w:val="none"/>
        </w:rPr>
        <w:t>制定，组织编制重要目标、重大活动、重大基础设施安全保障应急预案，构建覆盖全区域、全灾种、全行业、全层级、全过程的应急预案体系。积极与东城、通州等周边区域制定跨区域、流域性突发事件联合应急预案。</w:t>
      </w:r>
      <w:r>
        <w:rPr>
          <w:rFonts w:hint="eastAsia" w:ascii="Times New Roman" w:hAnsi="Times New Roman" w:eastAsia="仿宋_GB2312" w:cs="Times New Roman"/>
          <w:bCs/>
          <w:color w:val="000000"/>
          <w:sz w:val="32"/>
          <w:szCs w:val="20"/>
          <w:highlight w:val="none"/>
          <w:lang w:val="en-US" w:eastAsia="zh-CN"/>
        </w:rPr>
        <w:t>完善</w:t>
      </w:r>
      <w:r>
        <w:rPr>
          <w:rFonts w:hint="eastAsia" w:ascii="Times New Roman" w:hAnsi="Times New Roman" w:eastAsia="仿宋_GB2312" w:cs="Times New Roman"/>
          <w:bCs/>
          <w:color w:val="000000"/>
          <w:sz w:val="32"/>
          <w:szCs w:val="20"/>
          <w:highlight w:val="none"/>
        </w:rPr>
        <w:t>应急预案培训演练机制，每年至少开展1次区级重点综合应急演练</w:t>
      </w:r>
      <w:r>
        <w:rPr>
          <w:rFonts w:hint="eastAsia" w:ascii="Times New Roman" w:hAnsi="Times New Roman" w:eastAsia="仿宋_GB2312" w:cs="Times New Roman"/>
          <w:bCs/>
          <w:color w:val="000000"/>
          <w:sz w:val="32"/>
          <w:szCs w:val="20"/>
          <w:highlight w:val="none"/>
          <w:lang w:eastAsia="zh-CN"/>
        </w:rPr>
        <w:t>。强化养老院、医院、学校等重点场所应急处置能力建设，筑牢社会安全体系中最脆弱也是最重要的防线。</w:t>
      </w:r>
    </w:p>
    <w:p w14:paraId="2F2FA524">
      <w:pPr>
        <w:adjustRightInd w:val="0"/>
        <w:snapToGrid w:val="0"/>
        <w:spacing w:line="560" w:lineRule="exact"/>
        <w:ind w:firstLine="643" w:firstLineChars="200"/>
        <w:jc w:val="left"/>
        <w:outlineLvl w:val="2"/>
        <w:rPr>
          <w:rFonts w:hint="eastAsia" w:ascii="Times New Roman" w:hAnsi="Times New Roman" w:eastAsia="仿宋_GB2312" w:cs="Times New Roman"/>
          <w:b/>
          <w:color w:val="000000"/>
          <w:sz w:val="32"/>
          <w:szCs w:val="20"/>
          <w:highlight w:val="none"/>
          <w:lang w:eastAsia="zh-CN"/>
        </w:rPr>
      </w:pPr>
      <w:r>
        <w:rPr>
          <w:rFonts w:hint="eastAsia" w:ascii="Times New Roman" w:hAnsi="Times New Roman" w:eastAsia="仿宋_GB2312" w:cs="Times New Roman"/>
          <w:b/>
          <w:color w:val="000000"/>
          <w:sz w:val="32"/>
          <w:szCs w:val="20"/>
          <w:highlight w:val="none"/>
        </w:rPr>
        <w:t>2.建强应急救援</w:t>
      </w:r>
      <w:r>
        <w:rPr>
          <w:rFonts w:hint="eastAsia" w:ascii="Times New Roman" w:hAnsi="Times New Roman" w:eastAsia="仿宋_GB2312" w:cs="Times New Roman"/>
          <w:b/>
          <w:color w:val="000000"/>
          <w:sz w:val="32"/>
          <w:szCs w:val="20"/>
          <w:highlight w:val="none"/>
          <w:lang w:val="en-US" w:eastAsia="zh-CN"/>
        </w:rPr>
        <w:t>队伍</w:t>
      </w:r>
    </w:p>
    <w:p w14:paraId="012FEF2A">
      <w:pPr>
        <w:adjustRightInd w:val="0"/>
        <w:snapToGrid w:val="0"/>
        <w:spacing w:line="560" w:lineRule="exact"/>
        <w:ind w:firstLine="640" w:firstLineChars="200"/>
        <w:jc w:val="left"/>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建强“综合+专业+社会”应急救援力量体系，加强应急队伍建设，提升专业队伍实战能力，针对抗洪抢险、森林灭火、地震救援等场景，强化实战化训练。强化基层应急救援力量，建强街道综合性应急救援队伍、社区（村）“应急响应人”队伍，</w:t>
      </w:r>
      <w:r>
        <w:rPr>
          <w:rFonts w:hint="eastAsia" w:ascii="Times New Roman" w:hAnsi="Times New Roman" w:eastAsia="仿宋_GB2312" w:cs="Times New Roman"/>
          <w:bCs/>
          <w:color w:val="000000"/>
          <w:sz w:val="32"/>
          <w:szCs w:val="20"/>
          <w:highlight w:val="none"/>
          <w:lang w:val="en-US" w:eastAsia="zh-CN"/>
        </w:rPr>
        <w:t>鼓励</w:t>
      </w:r>
      <w:r>
        <w:rPr>
          <w:rFonts w:hint="eastAsia" w:ascii="Times New Roman" w:hAnsi="Times New Roman" w:eastAsia="仿宋_GB2312" w:cs="Times New Roman"/>
          <w:bCs/>
          <w:color w:val="000000"/>
          <w:sz w:val="32"/>
          <w:szCs w:val="20"/>
          <w:highlight w:val="none"/>
        </w:rPr>
        <w:t>扩大队伍规模，重点吸纳物业人员、社区工作者等参与，强化先期处置能力。建立分级分类测评体系，通过技能竞赛、政治理论培训提升社会队伍专业性，打造品牌化志愿服务组织。鼓励企业专兼职队伍、社区志愿者等参与基层应急响应，形成“综合+专业+社会”协同网络。</w:t>
      </w:r>
    </w:p>
    <w:p w14:paraId="1D2F006C">
      <w:pPr>
        <w:adjustRightInd w:val="0"/>
        <w:snapToGrid w:val="0"/>
        <w:spacing w:line="560" w:lineRule="exact"/>
        <w:ind w:firstLine="643"/>
        <w:jc w:val="left"/>
        <w:outlineLvl w:val="2"/>
        <w:rPr>
          <w:rFonts w:hint="eastAsia" w:ascii="Times New Roman" w:hAnsi="Times New Roman" w:eastAsia="仿宋_GB2312" w:cs="Times New Roman"/>
          <w:b/>
          <w:bCs w:val="0"/>
          <w:color w:val="000000"/>
          <w:sz w:val="32"/>
          <w:szCs w:val="20"/>
          <w:highlight w:val="none"/>
        </w:rPr>
      </w:pPr>
      <w:r>
        <w:rPr>
          <w:rFonts w:hint="eastAsia" w:ascii="Times New Roman" w:hAnsi="Times New Roman" w:eastAsia="仿宋_GB2312" w:cs="Times New Roman"/>
          <w:b/>
          <w:color w:val="000000"/>
          <w:sz w:val="32"/>
          <w:szCs w:val="20"/>
          <w:highlight w:val="none"/>
        </w:rPr>
        <w:t>3.</w:t>
      </w:r>
      <w:r>
        <w:rPr>
          <w:rFonts w:hint="eastAsia" w:ascii="Times New Roman" w:hAnsi="Times New Roman" w:eastAsia="仿宋_GB2312" w:cs="Times New Roman"/>
          <w:b/>
          <w:color w:val="000000"/>
          <w:sz w:val="32"/>
          <w:szCs w:val="20"/>
          <w:highlight w:val="none"/>
          <w:lang w:val="en-US" w:eastAsia="zh-CN"/>
        </w:rPr>
        <w:t>强化应急物资保障</w:t>
      </w:r>
    </w:p>
    <w:p w14:paraId="209E14E3">
      <w:pPr>
        <w:pStyle w:val="2"/>
        <w:rPr>
          <w:rFonts w:hint="eastAsia"/>
        </w:rPr>
      </w:pPr>
      <w:r>
        <w:rPr>
          <w:rFonts w:hint="eastAsia" w:ascii="Times New Roman" w:hAnsi="Times New Roman" w:eastAsia="仿宋_GB2312" w:cs="Times New Roman"/>
          <w:bCs/>
          <w:color w:val="000000"/>
          <w:sz w:val="32"/>
          <w:szCs w:val="20"/>
        </w:rPr>
        <w:t>加强应急物资储备统筹规划，加快构建现代化、智能化、社会化的储备与管理体系。持续推进市级应急物资管理信息平台在全区部署和使用，强化区内各单位应急物资信息化管理和统筹能力。积极推广“政府+市场+社会”协同储备模式，鼓励、引导、指导企事业单位、社会组织和家庭储备必要应急物资。优化应急物资储备结构，实施物资科学分类分级与精细化管理，结合重点区域风险特征与重大活动需求，实现差异化、动态化储备，推进探索应急物资协议储备模式。提升应急物资智慧管理能力，整合全区物资数据构建统一信息库，加强应急物资从采购、存储、使用到报废的全生命周期管理，提升应急物资的精准调度与高效保障水平。</w:t>
      </w:r>
    </w:p>
    <w:p w14:paraId="01F28D29">
      <w:pPr>
        <w:adjustRightInd w:val="0"/>
        <w:snapToGrid w:val="0"/>
        <w:spacing w:line="560" w:lineRule="exact"/>
        <w:ind w:firstLine="643" w:firstLineChars="200"/>
        <w:jc w:val="left"/>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lang w:val="en-US" w:eastAsia="zh-CN"/>
        </w:rPr>
        <w:t>4</w:t>
      </w:r>
      <w:r>
        <w:rPr>
          <w:rFonts w:hint="eastAsia" w:ascii="Times New Roman" w:hAnsi="Times New Roman" w:eastAsia="仿宋_GB2312" w:cs="Times New Roman"/>
          <w:b/>
          <w:color w:val="000000"/>
          <w:sz w:val="32"/>
          <w:szCs w:val="20"/>
          <w:highlight w:val="none"/>
        </w:rPr>
        <w:t>.提升指挥决策能力</w:t>
      </w:r>
    </w:p>
    <w:p w14:paraId="470B066B">
      <w:pPr>
        <w:adjustRightInd w:val="0"/>
        <w:snapToGrid w:val="0"/>
        <w:spacing w:line="560" w:lineRule="exact"/>
        <w:ind w:firstLine="640" w:firstLineChars="200"/>
        <w:jc w:val="left"/>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Cs/>
          <w:color w:val="000000"/>
          <w:sz w:val="32"/>
          <w:szCs w:val="20"/>
          <w:highlight w:val="none"/>
        </w:rPr>
        <w:t>强化应急协同联动，扩展“区—街</w:t>
      </w:r>
      <w:r>
        <w:rPr>
          <w:rFonts w:hint="eastAsia" w:ascii="Times New Roman" w:hAnsi="Times New Roman" w:eastAsia="仿宋_GB2312" w:cs="Times New Roman"/>
          <w:bCs/>
          <w:color w:val="000000"/>
          <w:sz w:val="32"/>
          <w:szCs w:val="20"/>
          <w:highlight w:val="none"/>
          <w:lang w:eastAsia="zh-CN"/>
        </w:rPr>
        <w:t>乡</w:t>
      </w:r>
      <w:r>
        <w:rPr>
          <w:rFonts w:hint="eastAsia" w:ascii="Times New Roman" w:hAnsi="Times New Roman" w:eastAsia="仿宋_GB2312" w:cs="Times New Roman"/>
          <w:bCs/>
          <w:color w:val="000000"/>
          <w:sz w:val="32"/>
          <w:szCs w:val="20"/>
          <w:highlight w:val="none"/>
        </w:rPr>
        <w:t>—社区</w:t>
      </w:r>
      <w:r>
        <w:rPr>
          <w:rFonts w:hint="eastAsia" w:ascii="Times New Roman" w:hAnsi="Times New Roman" w:eastAsia="仿宋_GB2312" w:cs="Times New Roman"/>
          <w:bCs/>
          <w:color w:val="000000"/>
          <w:sz w:val="32"/>
          <w:szCs w:val="20"/>
          <w:highlight w:val="none"/>
          <w:lang w:eastAsia="zh-CN"/>
        </w:rPr>
        <w:t>（村）</w:t>
      </w:r>
      <w:r>
        <w:rPr>
          <w:rFonts w:hint="eastAsia" w:ascii="Times New Roman" w:hAnsi="Times New Roman" w:eastAsia="仿宋_GB2312" w:cs="Times New Roman"/>
          <w:bCs/>
          <w:color w:val="000000"/>
          <w:sz w:val="32"/>
          <w:szCs w:val="20"/>
          <w:highlight w:val="none"/>
        </w:rPr>
        <w:t>”三级视频互联平台，实现区级指挥中心与街乡、社区</w:t>
      </w:r>
      <w:r>
        <w:rPr>
          <w:rFonts w:hint="eastAsia" w:ascii="Times New Roman" w:hAnsi="Times New Roman" w:eastAsia="仿宋_GB2312" w:cs="Times New Roman"/>
          <w:bCs/>
          <w:color w:val="000000"/>
          <w:sz w:val="32"/>
          <w:szCs w:val="20"/>
          <w:highlight w:val="none"/>
          <w:lang w:eastAsia="zh-CN"/>
        </w:rPr>
        <w:t>（村）等</w:t>
      </w:r>
      <w:r>
        <w:rPr>
          <w:rFonts w:hint="eastAsia" w:ascii="Times New Roman" w:hAnsi="Times New Roman" w:eastAsia="仿宋_GB2312" w:cs="Times New Roman"/>
          <w:bCs/>
          <w:color w:val="000000"/>
          <w:sz w:val="32"/>
          <w:szCs w:val="20"/>
          <w:highlight w:val="none"/>
        </w:rPr>
        <w:t>实时音视频互通，提升跨层级调度效率。建立“吹哨报到”应急响应机制，通过接诉即办平台快速联动公安、消防、卫健等部门，破解多头管理难题。提高跨区域、跨部门协作能力，与周边区域建立常态化救援协调机制，加强应急救援信息开放共享，实现跨区域、跨部门监测数据的实时交互与动态更新，协同开展跨区域灾害趋势研判。</w:t>
      </w:r>
    </w:p>
    <w:p w14:paraId="49703958">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lang w:val="en-US" w:eastAsia="zh-CN"/>
        </w:rPr>
        <w:t>5</w:t>
      </w:r>
      <w:r>
        <w:rPr>
          <w:rFonts w:hint="eastAsia" w:ascii="Times New Roman" w:hAnsi="Times New Roman" w:eastAsia="仿宋_GB2312" w:cs="Times New Roman"/>
          <w:b/>
          <w:color w:val="000000"/>
          <w:sz w:val="32"/>
          <w:szCs w:val="20"/>
          <w:highlight w:val="none"/>
        </w:rPr>
        <w:t>.</w:t>
      </w:r>
      <w:r>
        <w:rPr>
          <w:rFonts w:hint="eastAsia" w:ascii="Times New Roman" w:hAnsi="Times New Roman" w:eastAsia="仿宋_GB2312" w:cs="Times New Roman"/>
          <w:b/>
          <w:color w:val="000000"/>
          <w:sz w:val="32"/>
          <w:szCs w:val="20"/>
          <w:highlight w:val="none"/>
          <w:lang w:val="en-US" w:eastAsia="zh-CN"/>
        </w:rPr>
        <w:t>强化</w:t>
      </w:r>
      <w:r>
        <w:rPr>
          <w:rFonts w:hint="eastAsia" w:ascii="Times New Roman" w:hAnsi="Times New Roman" w:eastAsia="仿宋_GB2312" w:cs="Times New Roman"/>
          <w:b/>
          <w:color w:val="000000"/>
          <w:sz w:val="32"/>
          <w:szCs w:val="20"/>
          <w:highlight w:val="none"/>
        </w:rPr>
        <w:t>应急救援保障</w:t>
      </w:r>
    </w:p>
    <w:p w14:paraId="4B8DA68B">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32"/>
          <w:highlight w:val="none"/>
        </w:rPr>
        <w:t>提升应急物流保障水平，建立公路、轨道交通等紧急运输绿色通道，保障救援力量及物资优先通行。整合社会运力资源，完善紧急征用和补偿机制。推动多部门通信系统互联互通，提升指挥协同效率</w:t>
      </w:r>
      <w:r>
        <w:rPr>
          <w:rFonts w:hint="eastAsia" w:ascii="Times New Roman" w:hAnsi="Times New Roman" w:eastAsia="仿宋_GB2312" w:cs="Times New Roman"/>
          <w:bCs/>
          <w:color w:val="000000"/>
          <w:sz w:val="32"/>
          <w:szCs w:val="32"/>
          <w:highlight w:val="none"/>
          <w:lang w:eastAsia="zh-CN"/>
        </w:rPr>
        <w:t>，</w:t>
      </w:r>
      <w:r>
        <w:rPr>
          <w:rFonts w:hint="eastAsia" w:ascii="Times New Roman" w:hAnsi="Times New Roman" w:eastAsia="仿宋_GB2312" w:cs="Times New Roman"/>
          <w:bCs/>
          <w:color w:val="000000"/>
          <w:sz w:val="32"/>
          <w:szCs w:val="32"/>
          <w:highlight w:val="none"/>
        </w:rPr>
        <w:t>提升跨区域物资调配效率。提高应急装备保障，加快重点区域配备高层灭火、地下救援、危化处置等特种装备，推广无人机、机器人、智能监测设备，提升救援效率和安全性。</w:t>
      </w:r>
    </w:p>
    <w:p w14:paraId="52B85E78">
      <w:pPr>
        <w:adjustRightInd w:val="0"/>
        <w:snapToGrid w:val="0"/>
        <w:spacing w:line="560" w:lineRule="exact"/>
        <w:ind w:firstLine="640" w:firstLineChars="200"/>
        <w:outlineLvl w:val="1"/>
        <w:rPr>
          <w:rFonts w:ascii="Times New Roman" w:hAnsi="Times New Roman" w:eastAsia="楷体_GB2312" w:cs="Times New Roman"/>
          <w:color w:val="000000"/>
          <w:sz w:val="32"/>
          <w:szCs w:val="32"/>
          <w:highlight w:val="none"/>
        </w:rPr>
      </w:pPr>
      <w:bookmarkStart w:id="189" w:name="_Toc18804"/>
      <w:bookmarkStart w:id="190" w:name="_Toc13701"/>
      <w:bookmarkStart w:id="191" w:name="_Toc8735"/>
      <w:bookmarkStart w:id="192" w:name="_Toc22498"/>
      <w:bookmarkStart w:id="193" w:name="_Toc26921"/>
      <w:bookmarkStart w:id="194" w:name="_Toc16396"/>
      <w:bookmarkStart w:id="195" w:name="_Toc20963"/>
      <w:bookmarkStart w:id="196" w:name="_Toc7170"/>
      <w:bookmarkStart w:id="197" w:name="_Toc16763"/>
      <w:bookmarkStart w:id="198" w:name="_Toc1301"/>
      <w:bookmarkStart w:id="199" w:name="_Toc30487"/>
      <w:bookmarkStart w:id="200" w:name="_Toc19324"/>
      <w:bookmarkStart w:id="201" w:name="_Toc27280"/>
      <w:bookmarkStart w:id="202" w:name="_Toc7212"/>
      <w:bookmarkStart w:id="203" w:name="_Toc20812"/>
      <w:bookmarkStart w:id="204" w:name="_Toc25278"/>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五</w:t>
      </w:r>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sz w:val="32"/>
          <w:szCs w:val="32"/>
          <w:highlight w:val="none"/>
          <w:lang w:val="en-US" w:eastAsia="zh-CN"/>
        </w:rPr>
        <w:t>坚持</w:t>
      </w:r>
      <w:r>
        <w:rPr>
          <w:rFonts w:hint="eastAsia" w:ascii="Times New Roman" w:hAnsi="Times New Roman" w:eastAsia="楷体_GB2312" w:cs="Times New Roman"/>
          <w:sz w:val="32"/>
          <w:szCs w:val="32"/>
          <w:highlight w:val="none"/>
        </w:rPr>
        <w:t>防消</w:t>
      </w:r>
      <w:r>
        <w:rPr>
          <w:rFonts w:hint="eastAsia" w:ascii="Times New Roman" w:hAnsi="Times New Roman" w:eastAsia="楷体_GB2312" w:cs="Times New Roman"/>
          <w:sz w:val="32"/>
          <w:szCs w:val="32"/>
          <w:highlight w:val="none"/>
          <w:lang w:val="en-US" w:eastAsia="zh-CN"/>
        </w:rPr>
        <w:t>深度融合</w:t>
      </w:r>
      <w:r>
        <w:rPr>
          <w:rFonts w:ascii="Times New Roman" w:hAnsi="Times New Roman" w:eastAsia="楷体_GB2312" w:cs="Times New Roman"/>
          <w:sz w:val="32"/>
          <w:szCs w:val="32"/>
          <w:highlight w:val="none"/>
        </w:rPr>
        <w:t>，</w:t>
      </w:r>
      <w:r>
        <w:rPr>
          <w:rFonts w:hint="eastAsia" w:ascii="Times New Roman" w:hAnsi="Times New Roman" w:eastAsia="楷体_GB2312" w:cs="Times New Roman"/>
          <w:sz w:val="32"/>
          <w:szCs w:val="32"/>
          <w:highlight w:val="none"/>
        </w:rPr>
        <w:t>筑牢消防</w:t>
      </w:r>
      <w:r>
        <w:rPr>
          <w:rFonts w:hint="eastAsia" w:ascii="Times New Roman" w:hAnsi="Times New Roman" w:eastAsia="楷体_GB2312" w:cs="Times New Roman"/>
          <w:sz w:val="32"/>
          <w:szCs w:val="32"/>
          <w:highlight w:val="none"/>
          <w:lang w:val="en-US" w:eastAsia="zh-CN"/>
        </w:rPr>
        <w:t>安全</w:t>
      </w:r>
      <w:r>
        <w:rPr>
          <w:rFonts w:hint="eastAsia" w:ascii="Times New Roman" w:hAnsi="Times New Roman" w:eastAsia="楷体_GB2312" w:cs="Times New Roman"/>
          <w:sz w:val="32"/>
          <w:szCs w:val="32"/>
          <w:highlight w:val="none"/>
        </w:rPr>
        <w:t>管理体系</w:t>
      </w:r>
      <w:bookmarkEnd w:id="189"/>
      <w:bookmarkEnd w:id="190"/>
    </w:p>
    <w:p w14:paraId="7C4D083D">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1.</w:t>
      </w:r>
      <w:r>
        <w:rPr>
          <w:rFonts w:hint="eastAsia" w:ascii="Times New Roman" w:hAnsi="Times New Roman" w:eastAsia="仿宋_GB2312" w:cs="Times New Roman"/>
          <w:b/>
          <w:color w:val="000000"/>
          <w:sz w:val="32"/>
          <w:szCs w:val="20"/>
          <w:highlight w:val="none"/>
          <w:lang w:val="en-US" w:eastAsia="zh-CN"/>
        </w:rPr>
        <w:t>完善</w:t>
      </w:r>
      <w:r>
        <w:rPr>
          <w:rFonts w:hint="eastAsia" w:ascii="Times New Roman" w:hAnsi="Times New Roman" w:eastAsia="仿宋_GB2312" w:cs="Times New Roman"/>
          <w:b/>
          <w:color w:val="000000"/>
          <w:sz w:val="32"/>
          <w:szCs w:val="20"/>
          <w:highlight w:val="none"/>
        </w:rPr>
        <w:t>城市火灾防控体系</w:t>
      </w:r>
    </w:p>
    <w:p w14:paraId="6F151E8D">
      <w:pPr>
        <w:adjustRightInd w:val="0"/>
        <w:snapToGrid w:val="0"/>
        <w:spacing w:line="560" w:lineRule="exact"/>
        <w:ind w:firstLine="640" w:firstLineChars="200"/>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rPr>
        <w:t>深化隐患排查机制，完善全面排查、全域覆盖、全量支持“三全工作法”隐患排查体系。深化重点行业领域消防专项治理，聚焦高层建筑、人员密集场所、地下空间、大型商业综合体、医疗养老机构、文物古建等重点场所，推行标准化管理，坚决遏制“大火巨灾”。强化对“九小场所”的监管指导，建立更加精准的监管机制，降低火灾风险。持续开展消防突出问题专项行动，深化电动自行车全链条治理，推广智能充电设施，全面消除违规停放和充电问题，加强高层建筑消防安全管理，重点整治天台疏散通道堵塞、消防设施损坏等问题，开展“小切口”专项治理工作，针对楼内外堆物、消防通道堵塞等隐患进行重点整治。紧盯老旧居民小区、村民经营性自建房、多业态混合经营场、物流仓储等薄弱领域，治理火灾风险隐患，动态摸排上账消防安全重点关爱人群，开展消防安全“敲门入户”宣传行动</w:t>
      </w:r>
      <w:r>
        <w:rPr>
          <w:rFonts w:hint="eastAsia" w:ascii="Times New Roman" w:hAnsi="Times New Roman" w:eastAsia="仿宋_GB2312" w:cs="Times New Roman"/>
          <w:bCs/>
          <w:color w:val="000000"/>
          <w:sz w:val="32"/>
          <w:szCs w:val="28"/>
          <w:highlight w:val="none"/>
          <w:lang w:eastAsia="zh-CN"/>
        </w:rPr>
        <w:t>，</w:t>
      </w:r>
      <w:r>
        <w:rPr>
          <w:rFonts w:hint="eastAsia" w:ascii="Times New Roman" w:hAnsi="Times New Roman" w:eastAsia="仿宋_GB2312" w:cs="Times New Roman"/>
          <w:bCs/>
          <w:color w:val="000000"/>
          <w:sz w:val="32"/>
          <w:szCs w:val="28"/>
          <w:highlight w:val="none"/>
        </w:rPr>
        <w:t>严防“小火亡人”。</w:t>
      </w:r>
      <w:r>
        <w:rPr>
          <w:rFonts w:hint="eastAsia" w:ascii="Times New Roman" w:hAnsi="Times New Roman" w:eastAsia="仿宋_GB2312" w:cs="Times New Roman"/>
          <w:bCs/>
          <w:color w:val="000000"/>
          <w:sz w:val="32"/>
          <w:szCs w:val="28"/>
          <w:highlight w:val="none"/>
          <w:lang w:val="en-US" w:eastAsia="zh-CN"/>
        </w:rPr>
        <w:t>密切关注</w:t>
      </w:r>
      <w:r>
        <w:rPr>
          <w:rFonts w:hint="eastAsia" w:ascii="Times New Roman" w:hAnsi="Times New Roman" w:eastAsia="仿宋_GB2312" w:cs="Times New Roman"/>
          <w:bCs/>
          <w:color w:val="000000"/>
          <w:sz w:val="32"/>
          <w:szCs w:val="28"/>
          <w:highlight w:val="none"/>
        </w:rPr>
        <w:t>气膜馆、密室逃脱、剧本杀、直播带货工作室、电竞酒店等新业态，以及锂离子电池、电化学储能等新能源火灾风险，推动落实本质安全措施。拓展深化非现场监管应用场景，深化“风险+信用”分级分类监管。推广视频监控、物联感知、感烟探测器等技防设施，实现风险早发现、事故早处置。</w:t>
      </w:r>
    </w:p>
    <w:p w14:paraId="7C61769D">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lang w:val="en-US" w:eastAsia="zh-CN"/>
        </w:rPr>
        <w:t>2.提升综合监管服务水平</w:t>
      </w:r>
    </w:p>
    <w:p w14:paraId="42C69EE5">
      <w:pPr>
        <w:adjustRightInd w:val="0"/>
        <w:snapToGrid w:val="0"/>
        <w:spacing w:line="560" w:lineRule="exact"/>
        <w:ind w:firstLine="640" w:firstLineChars="200"/>
        <w:rPr>
          <w:rFonts w:hint="eastAsia" w:ascii="Times New Roman" w:hAnsi="Times New Roman" w:eastAsia="仿宋_GB2312" w:cs="Times New Roman"/>
          <w:bCs/>
          <w:color w:val="000000"/>
          <w:sz w:val="32"/>
          <w:szCs w:val="28"/>
          <w:highlight w:val="none"/>
          <w:lang w:val="en-US" w:eastAsia="zh-CN"/>
        </w:rPr>
      </w:pPr>
      <w:r>
        <w:rPr>
          <w:rFonts w:hint="eastAsia" w:ascii="Times New Roman" w:hAnsi="Times New Roman" w:eastAsia="仿宋_GB2312" w:cs="Times New Roman"/>
          <w:bCs/>
          <w:color w:val="000000"/>
          <w:sz w:val="32"/>
          <w:szCs w:val="28"/>
          <w:highlight w:val="none"/>
          <w:lang w:val="en-US" w:eastAsia="zh-CN"/>
        </w:rPr>
        <w:t>建立消防安全信用记录制度，将行政处罚、火灾事故等信息纳入信用档案，对失信主体实施联合惩戒。推动“风险+信用”评价覆盖全量建筑，实现差异化精准监管。落实消防安全责任制法规，构建“行业+专业+综合+属地”四位一体监管体系。完善消防安全综合治理体系，行业主管部门明确消防安全管理机构和人员，推行消防安全标准化管理；消防部门强化综合监管职能，推动消防救援站参与防火工作，定期研判火灾形势并组织专项治理；街乡明确消防安全职责机构，健全隐患排查机制，夯实基层消防安全治理基础。深化消防审批服务改革，优化公众聚集场所投入使用、开业前消防安全检查，推进与住建部门审批结果互认，融入“高效办成一件事”改革。鼓励开业前检查“一网通办”</w:t>
      </w:r>
      <w:r>
        <w:rPr>
          <w:rFonts w:hint="eastAsia" w:ascii="Times New Roman" w:hAnsi="Times New Roman" w:eastAsia="仿宋_GB2312" w:cs="Times New Roman"/>
          <w:bCs/>
          <w:snapToGrid/>
          <w:color w:val="000000"/>
          <w:kern w:val="2"/>
          <w:sz w:val="32"/>
          <w:szCs w:val="28"/>
          <w:highlight w:val="none"/>
          <w:shd w:val="clear"/>
          <w:lang w:val="en-US" w:eastAsia="zh-CN" w:bidi="ar-SA"/>
        </w:rPr>
        <w:t>和“承诺制”办理</w:t>
      </w:r>
      <w:r>
        <w:rPr>
          <w:rFonts w:hint="eastAsia" w:ascii="Times New Roman" w:hAnsi="Times New Roman" w:eastAsia="仿宋_GB2312" w:cs="Times New Roman"/>
          <w:bCs/>
          <w:color w:val="000000"/>
          <w:sz w:val="32"/>
          <w:szCs w:val="28"/>
          <w:highlight w:val="none"/>
          <w:lang w:val="en-US" w:eastAsia="zh-CN"/>
        </w:rPr>
        <w:t>，探索分级审批模式，深化并联审批压缩办理时限。</w:t>
      </w:r>
    </w:p>
    <w:p w14:paraId="311D65CE">
      <w:pPr>
        <w:keepNext/>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3.提升消防法治工作水平</w:t>
      </w:r>
    </w:p>
    <w:p w14:paraId="6C24DB9A">
      <w:pPr>
        <w:adjustRightInd w:val="0"/>
        <w:snapToGrid w:val="0"/>
        <w:spacing w:line="560" w:lineRule="exact"/>
        <w:ind w:firstLine="640" w:firstLineChars="200"/>
        <w:rPr>
          <w:rFonts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rPr>
        <w:t>严格执行《北京市消防条例》，强化学习宣贯，提高各级干部和群众的法治意识，强化法规执行的规范性和严肃性。深入推行“双随机、一公开”监管模式，建立消防执法全过程记录制度，规范执法行为，提高监管的公平性、透明度和执法质量，强化对违规行为的查处力度，形成有效震慑，确保法规有效执行。健全消防安全责任体系，强化责任落实，制定消防安全“职责清单”“工作清单”，明确各级各部门的消防安全责任，完善消防安全责任考核评价机制，构建全社会共同参与的消防安全责任格局。</w:t>
      </w:r>
    </w:p>
    <w:p w14:paraId="67085FB5">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4.</w:t>
      </w:r>
      <w:r>
        <w:rPr>
          <w:rFonts w:hint="eastAsia" w:ascii="Times New Roman" w:hAnsi="Times New Roman" w:eastAsia="仿宋_GB2312" w:cs="Times New Roman"/>
          <w:b/>
          <w:color w:val="000000"/>
          <w:sz w:val="32"/>
          <w:szCs w:val="20"/>
          <w:highlight w:val="none"/>
          <w:lang w:val="en-US" w:eastAsia="zh-CN"/>
        </w:rPr>
        <w:t>夯实</w:t>
      </w:r>
      <w:r>
        <w:rPr>
          <w:rFonts w:hint="eastAsia" w:ascii="Times New Roman" w:hAnsi="Times New Roman" w:eastAsia="仿宋_GB2312" w:cs="Times New Roman"/>
          <w:b/>
          <w:color w:val="000000"/>
          <w:sz w:val="32"/>
          <w:szCs w:val="20"/>
          <w:highlight w:val="none"/>
        </w:rPr>
        <w:t>公共消防</w:t>
      </w:r>
      <w:r>
        <w:rPr>
          <w:rFonts w:hint="eastAsia" w:ascii="Times New Roman" w:hAnsi="Times New Roman" w:eastAsia="仿宋_GB2312" w:cs="Times New Roman"/>
          <w:b/>
          <w:color w:val="000000"/>
          <w:sz w:val="32"/>
          <w:szCs w:val="20"/>
          <w:highlight w:val="none"/>
          <w:lang w:val="en-US" w:eastAsia="zh-CN"/>
        </w:rPr>
        <w:t>设施</w:t>
      </w:r>
      <w:r>
        <w:rPr>
          <w:rFonts w:hint="eastAsia" w:ascii="Times New Roman" w:hAnsi="Times New Roman" w:eastAsia="仿宋_GB2312" w:cs="Times New Roman"/>
          <w:b/>
          <w:color w:val="000000"/>
          <w:sz w:val="32"/>
          <w:szCs w:val="20"/>
          <w:highlight w:val="none"/>
        </w:rPr>
        <w:t>基础</w:t>
      </w:r>
    </w:p>
    <w:p w14:paraId="4C5BA3C2">
      <w:pPr>
        <w:adjustRightInd w:val="0"/>
        <w:snapToGrid w:val="0"/>
        <w:spacing w:line="560" w:lineRule="exact"/>
        <w:ind w:firstLine="640" w:firstLineChars="200"/>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lang w:val="en-US" w:eastAsia="zh-CN"/>
        </w:rPr>
        <w:t>夯实</w:t>
      </w:r>
      <w:r>
        <w:rPr>
          <w:rFonts w:hint="eastAsia" w:ascii="Times New Roman" w:hAnsi="Times New Roman" w:eastAsia="仿宋_GB2312" w:cs="Times New Roman"/>
          <w:bCs/>
          <w:color w:val="000000"/>
          <w:sz w:val="32"/>
          <w:szCs w:val="28"/>
          <w:highlight w:val="none"/>
        </w:rPr>
        <w:t>公共消防安全基础，补齐前沿防线短板。加强公共消防基础设施建设，推进老旧管线改造和消防站建设，构建以消防站点、消防供水、消防车通道、消防通信为主的公共消防设施网络，优化城市道路网密度，增加公共停车设施，缓解住宅小区消防车通道不畅问题，推进消防通信网络建设，提高应急通信保障能力。加强建筑消防设施监督检查，打造标准化管理消防控制室。推动将消防设施纳入城市更新、老旧小区改造基础类项目，提高住宅小区消防设施完好率。持续推进智慧消防建设，建立跨部门、跨领域数据共享机制，提升火灾防控数字化、精准化、精细化水平。推动社会共治与公众参与消防建设，推动社区、企业、学校等基层单位建立消防安全自治组织，形成群防群治的良好局面。加强消防安全宣传教育，组织开展线上线下相结合的消防安全宣传活动，提高群众消防安全意识，为年长孤独、失能失智等重点人群安装感烟报警器，探索推广应用“隐患知识小程序”等创新形式，提高宣传教育的趣味性和互动性。推动“智慧消防”建设，加快物联网技术应用，实现消防设施的远程监控，加大大数据与人工智能辅助决策应用，通过数据分析和机器学习算法实现提前预警、火灾现场智能分析等，辅助消防指挥决策，提高救援效率。</w:t>
      </w:r>
    </w:p>
    <w:p w14:paraId="6042BEBB">
      <w:pPr>
        <w:adjustRightInd w:val="0"/>
        <w:snapToGrid w:val="0"/>
        <w:spacing w:line="560" w:lineRule="exact"/>
        <w:ind w:firstLine="640" w:firstLineChars="200"/>
        <w:outlineLvl w:val="1"/>
        <w:rPr>
          <w:rFonts w:hint="eastAsia" w:ascii="Times New Roman" w:hAnsi="Times New Roman" w:eastAsia="楷体_GB2312" w:cs="Times New Roman"/>
          <w:color w:val="000000"/>
          <w:sz w:val="32"/>
          <w:szCs w:val="32"/>
          <w:highlight w:val="none"/>
          <w:lang w:val="en-US" w:eastAsia="zh-CN"/>
        </w:rPr>
      </w:pPr>
      <w:bookmarkStart w:id="205" w:name="_Toc2678"/>
      <w:bookmarkStart w:id="206" w:name="_Toc12938"/>
      <w:bookmarkStart w:id="207" w:name="_Toc1389624473"/>
      <w:r>
        <w:rPr>
          <w:rFonts w:hint="eastAsia" w:ascii="Times New Roman" w:hAnsi="Times New Roman" w:eastAsia="楷体_GB2312" w:cs="Times New Roman"/>
          <w:color w:val="000000"/>
          <w:sz w:val="32"/>
          <w:szCs w:val="32"/>
          <w:highlight w:val="none"/>
          <w:lang w:val="en-US" w:eastAsia="zh-CN"/>
        </w:rPr>
        <w:t>（六）</w:t>
      </w:r>
      <w:r>
        <w:rPr>
          <w:rFonts w:hint="eastAsia" w:ascii="Times New Roman" w:hAnsi="Times New Roman" w:eastAsia="楷体_GB2312" w:cs="Times New Roman"/>
          <w:color w:val="000000"/>
          <w:sz w:val="32"/>
          <w:szCs w:val="32"/>
          <w:highlight w:val="none"/>
        </w:rPr>
        <w:t>紧抓精准施策关键，</w:t>
      </w:r>
      <w:r>
        <w:rPr>
          <w:rFonts w:hint="eastAsia" w:ascii="Times New Roman" w:hAnsi="Times New Roman" w:eastAsia="楷体_GB2312" w:cs="Times New Roman"/>
          <w:color w:val="000000"/>
          <w:sz w:val="32"/>
          <w:szCs w:val="32"/>
          <w:highlight w:val="none"/>
          <w:lang w:val="en-US" w:eastAsia="zh-CN"/>
        </w:rPr>
        <w:t>提升防震减灾处理能力</w:t>
      </w:r>
      <w:bookmarkEnd w:id="205"/>
      <w:bookmarkEnd w:id="206"/>
      <w:bookmarkEnd w:id="207"/>
    </w:p>
    <w:p w14:paraId="2135D688">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val="en-US" w:eastAsia="zh-CN"/>
        </w:rPr>
      </w:pPr>
      <w:bookmarkStart w:id="208" w:name="_Toc561452315"/>
      <w:bookmarkStart w:id="209" w:name="_Toc216611255"/>
      <w:bookmarkStart w:id="210" w:name="_Toc1619787962"/>
      <w:r>
        <w:rPr>
          <w:rFonts w:hint="eastAsia" w:ascii="Times New Roman" w:hAnsi="Times New Roman" w:eastAsia="仿宋_GB2312" w:cs="Times New Roman"/>
          <w:b/>
          <w:color w:val="000000"/>
          <w:sz w:val="32"/>
          <w:szCs w:val="20"/>
          <w:highlight w:val="none"/>
          <w:lang w:val="en-US" w:eastAsia="zh-CN"/>
        </w:rPr>
        <w:t>1.构建智能高效地震监测预警体系</w:t>
      </w:r>
      <w:bookmarkEnd w:id="208"/>
      <w:bookmarkEnd w:id="209"/>
      <w:bookmarkEnd w:id="210"/>
    </w:p>
    <w:p w14:paraId="482AC6C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科学规划和优化地震监测台站布局</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通过加密站点、升级设备与技术，提升监测精度与快速测定能力</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加强跨部门协作，整合监测资源，构建统一管理、数据共享的地震监测网络体系。加强专业领域监测，对超高层建筑、重大基础设施等实施结构安全与灾害链监测，防范</w:t>
      </w:r>
      <w:r>
        <w:rPr>
          <w:rFonts w:hint="eastAsia" w:ascii="Times New Roman" w:hAnsi="Times New Roman" w:eastAsia="仿宋_GB2312" w:cs="Times New Roman"/>
          <w:bCs/>
          <w:color w:val="000000"/>
          <w:sz w:val="32"/>
          <w:szCs w:val="20"/>
          <w:highlight w:val="none"/>
          <w:lang w:val="en-US" w:eastAsia="zh-CN"/>
        </w:rPr>
        <w:t>次生灾害</w:t>
      </w:r>
      <w:r>
        <w:rPr>
          <w:rFonts w:hint="eastAsia" w:ascii="Times New Roman" w:hAnsi="Times New Roman" w:eastAsia="仿宋_GB2312" w:cs="Times New Roman"/>
          <w:bCs/>
          <w:color w:val="000000"/>
          <w:sz w:val="32"/>
          <w:szCs w:val="20"/>
          <w:highlight w:val="none"/>
        </w:rPr>
        <w:t>风险。提升预警能力，</w:t>
      </w:r>
      <w:r>
        <w:rPr>
          <w:rFonts w:hint="eastAsia" w:ascii="Times New Roman" w:hAnsi="Times New Roman" w:eastAsia="仿宋_GB2312" w:cs="Times New Roman"/>
          <w:bCs/>
          <w:color w:val="000000"/>
          <w:sz w:val="32"/>
          <w:szCs w:val="20"/>
          <w:highlight w:val="none"/>
          <w:lang w:val="en-US" w:eastAsia="zh-CN"/>
        </w:rPr>
        <w:t>推动地震</w:t>
      </w:r>
      <w:r>
        <w:rPr>
          <w:rFonts w:hint="eastAsia" w:ascii="Times New Roman" w:hAnsi="Times New Roman" w:eastAsia="仿宋_GB2312" w:cs="Times New Roman"/>
          <w:bCs/>
          <w:color w:val="000000"/>
          <w:sz w:val="32"/>
          <w:szCs w:val="20"/>
          <w:highlight w:val="none"/>
        </w:rPr>
        <w:t>预警终端</w:t>
      </w:r>
      <w:r>
        <w:rPr>
          <w:rFonts w:hint="eastAsia" w:ascii="Times New Roman" w:hAnsi="Times New Roman" w:eastAsia="仿宋_GB2312" w:cs="Times New Roman"/>
          <w:bCs/>
          <w:color w:val="000000"/>
          <w:sz w:val="32"/>
          <w:szCs w:val="20"/>
          <w:highlight w:val="none"/>
          <w:lang w:val="en-US" w:eastAsia="zh-CN"/>
        </w:rPr>
        <w:t>布设</w:t>
      </w:r>
      <w:r>
        <w:rPr>
          <w:rFonts w:hint="eastAsia" w:ascii="Times New Roman" w:hAnsi="Times New Roman" w:eastAsia="仿宋_GB2312" w:cs="Times New Roman"/>
          <w:bCs/>
          <w:color w:val="000000"/>
          <w:sz w:val="32"/>
          <w:szCs w:val="20"/>
          <w:highlight w:val="none"/>
        </w:rPr>
        <w:t>全覆盖，拓宽信息发布渠道，确保预警信息精准、及时触达重点场所与人群。整合现有地震监测资源，建设集数据汇集、分析处理、震情会商、预测预警于一体的地震监测会商平台。</w:t>
      </w:r>
    </w:p>
    <w:p w14:paraId="65118B92">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val="en-US" w:eastAsia="zh-CN"/>
        </w:rPr>
      </w:pPr>
      <w:bookmarkStart w:id="211" w:name="_Toc108213058"/>
      <w:bookmarkStart w:id="212" w:name="_Toc1676660810"/>
      <w:bookmarkStart w:id="213" w:name="_Toc1509028404"/>
      <w:r>
        <w:rPr>
          <w:rFonts w:hint="eastAsia" w:ascii="Times New Roman" w:hAnsi="Times New Roman" w:eastAsia="仿宋_GB2312" w:cs="Times New Roman"/>
          <w:b/>
          <w:color w:val="000000"/>
          <w:sz w:val="32"/>
          <w:szCs w:val="20"/>
          <w:highlight w:val="none"/>
          <w:lang w:val="en-US" w:eastAsia="zh-CN"/>
        </w:rPr>
        <w:t>2.开展地震风险评估与抗震能力提升</w:t>
      </w:r>
      <w:bookmarkEnd w:id="211"/>
      <w:bookmarkEnd w:id="212"/>
      <w:bookmarkEnd w:id="213"/>
    </w:p>
    <w:p w14:paraId="4C4F511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560" w:lineRule="exact"/>
        <w:ind w:left="0" w:leftChars="0" w:firstLine="640" w:firstLineChars="200"/>
        <w:rPr>
          <w:rFonts w:hint="eastAsia" w:ascii="Times New Roman" w:hAnsi="Times New Roman" w:eastAsia="仿宋_GB2312" w:cs="Times New Roman"/>
          <w:bCs/>
          <w:color w:val="000000"/>
          <w:sz w:val="32"/>
          <w:szCs w:val="20"/>
          <w:highlight w:val="none"/>
          <w:lang w:val="en-US" w:eastAsia="zh-CN"/>
        </w:rPr>
      </w:pPr>
      <w:r>
        <w:rPr>
          <w:rFonts w:hint="eastAsia" w:ascii="Times New Roman" w:hAnsi="Times New Roman" w:eastAsia="仿宋_GB2312" w:cs="Times New Roman"/>
          <w:bCs/>
          <w:color w:val="000000"/>
          <w:sz w:val="32"/>
          <w:szCs w:val="20"/>
          <w:highlight w:val="none"/>
        </w:rPr>
        <w:t>开展全区地震灾害安全韧性评估，摸清风险底数，建立地震灾害风险数据库和风险地图。</w:t>
      </w:r>
      <w:r>
        <w:rPr>
          <w:rFonts w:hint="eastAsia" w:ascii="Times New Roman" w:hAnsi="Times New Roman" w:eastAsia="仿宋_GB2312" w:cs="Times New Roman"/>
          <w:bCs/>
          <w:color w:val="000000"/>
          <w:sz w:val="32"/>
          <w:szCs w:val="20"/>
          <w:highlight w:val="none"/>
          <w:lang w:val="en-US" w:eastAsia="zh-CN"/>
        </w:rPr>
        <w:t>对</w:t>
      </w:r>
      <w:r>
        <w:rPr>
          <w:rFonts w:hint="eastAsia" w:ascii="Times New Roman" w:hAnsi="Times New Roman" w:eastAsia="仿宋_GB2312" w:cs="Times New Roman"/>
          <w:bCs/>
          <w:color w:val="000000"/>
          <w:sz w:val="32"/>
          <w:szCs w:val="20"/>
          <w:highlight w:val="none"/>
        </w:rPr>
        <w:t>交通、燃气、供电、供水等关键基础设施地震</w:t>
      </w:r>
      <w:r>
        <w:rPr>
          <w:rFonts w:hint="eastAsia" w:ascii="Times New Roman" w:hAnsi="Times New Roman" w:eastAsia="仿宋_GB2312" w:cs="Times New Roman"/>
          <w:bCs/>
          <w:color w:val="000000"/>
          <w:sz w:val="32"/>
          <w:szCs w:val="20"/>
          <w:highlight w:val="none"/>
          <w:lang w:val="en-US" w:eastAsia="zh-CN"/>
        </w:rPr>
        <w:t>开展</w:t>
      </w:r>
      <w:r>
        <w:rPr>
          <w:rFonts w:hint="eastAsia" w:ascii="Times New Roman" w:hAnsi="Times New Roman" w:eastAsia="仿宋_GB2312" w:cs="Times New Roman"/>
          <w:bCs/>
          <w:color w:val="000000"/>
          <w:sz w:val="32"/>
          <w:szCs w:val="20"/>
          <w:highlight w:val="none"/>
        </w:rPr>
        <w:t>安全韧性评估，识别薄弱环节，提出针对性防控措施。严格执行抗震设防标准，加强重大建设工程和可能发生严重次生灾害建设工程的地震安全性评价管理</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确保新建、改建、扩建建设工程达到抗震设防要求。推进既有建筑抗震性能鉴定和加固改造，</w:t>
      </w:r>
      <w:r>
        <w:rPr>
          <w:rFonts w:hint="eastAsia" w:ascii="Times New Roman" w:hAnsi="Times New Roman" w:eastAsia="仿宋_GB2312" w:cs="Times New Roman"/>
          <w:bCs/>
          <w:color w:val="000000"/>
          <w:sz w:val="32"/>
          <w:szCs w:val="20"/>
          <w:highlight w:val="none"/>
          <w:lang w:val="en-US" w:eastAsia="zh-CN"/>
        </w:rPr>
        <w:t>优先实施</w:t>
      </w:r>
      <w:r>
        <w:rPr>
          <w:rFonts w:hint="eastAsia" w:ascii="Times New Roman" w:hAnsi="Times New Roman" w:eastAsia="仿宋_GB2312" w:cs="Times New Roman"/>
          <w:bCs/>
          <w:color w:val="000000"/>
          <w:sz w:val="32"/>
          <w:szCs w:val="20"/>
          <w:highlight w:val="none"/>
        </w:rPr>
        <w:t>学校、医院、养老院等人员密集场所和重要民生设施</w:t>
      </w:r>
      <w:r>
        <w:rPr>
          <w:rFonts w:hint="eastAsia" w:ascii="Times New Roman" w:hAnsi="Times New Roman" w:eastAsia="仿宋_GB2312" w:cs="Times New Roman"/>
          <w:bCs/>
          <w:color w:val="000000"/>
          <w:sz w:val="32"/>
          <w:szCs w:val="20"/>
          <w:highlight w:val="none"/>
          <w:lang w:val="en-US" w:eastAsia="zh-CN"/>
        </w:rPr>
        <w:t>的</w:t>
      </w:r>
      <w:r>
        <w:rPr>
          <w:rFonts w:hint="eastAsia" w:ascii="Times New Roman" w:hAnsi="Times New Roman" w:eastAsia="仿宋_GB2312" w:cs="Times New Roman"/>
          <w:bCs/>
          <w:color w:val="000000"/>
          <w:sz w:val="32"/>
          <w:szCs w:val="20"/>
          <w:highlight w:val="none"/>
        </w:rPr>
        <w:t>加固改造</w:t>
      </w:r>
      <w:r>
        <w:rPr>
          <w:rFonts w:hint="eastAsia" w:ascii="Times New Roman" w:hAnsi="Times New Roman" w:eastAsia="仿宋_GB2312" w:cs="Times New Roman"/>
          <w:bCs/>
          <w:color w:val="000000"/>
          <w:sz w:val="32"/>
          <w:szCs w:val="20"/>
          <w:highlight w:val="none"/>
          <w:lang w:val="en-US" w:eastAsia="zh-CN"/>
        </w:rPr>
        <w:t>工作</w:t>
      </w:r>
      <w:r>
        <w:rPr>
          <w:rFonts w:hint="eastAsia" w:ascii="Times New Roman" w:hAnsi="Times New Roman" w:eastAsia="仿宋_GB2312" w:cs="Times New Roman"/>
          <w:bCs/>
          <w:color w:val="000000"/>
          <w:sz w:val="32"/>
          <w:szCs w:val="20"/>
          <w:highlight w:val="none"/>
        </w:rPr>
        <w:t>。</w:t>
      </w:r>
      <w:r>
        <w:rPr>
          <w:rFonts w:hint="eastAsia" w:ascii="Times New Roman" w:hAnsi="Times New Roman" w:eastAsia="仿宋_GB2312" w:cs="Times New Roman"/>
          <w:bCs/>
          <w:color w:val="000000"/>
          <w:sz w:val="32"/>
          <w:szCs w:val="20"/>
          <w:highlight w:val="none"/>
          <w:lang w:val="en-US" w:eastAsia="zh-CN"/>
        </w:rPr>
        <w:t>配合推进孙河断裂地震灾害监测防治提升项目，完善地震灾害风险评估体系，共享和动态更新承灾体基础数据，推进重点地区、街道社区和重点行业地震灾害风险精细化评估，提出隐患防治、应急处置和抗震加固建议。</w:t>
      </w:r>
    </w:p>
    <w:p w14:paraId="15FBD22C">
      <w:pPr>
        <w:adjustRightInd w:val="0"/>
        <w:snapToGrid w:val="0"/>
        <w:spacing w:line="560" w:lineRule="exact"/>
        <w:ind w:firstLine="643" w:firstLineChars="200"/>
        <w:outlineLvl w:val="2"/>
        <w:rPr>
          <w:rFonts w:hint="eastAsia" w:ascii="Times New Roman" w:hAnsi="Times New Roman" w:eastAsia="仿宋_GB2312" w:cs="Times New Roman"/>
          <w:b/>
          <w:color w:val="000000"/>
          <w:sz w:val="32"/>
          <w:szCs w:val="20"/>
          <w:highlight w:val="none"/>
          <w:lang w:val="en-US" w:eastAsia="zh-CN"/>
        </w:rPr>
      </w:pPr>
      <w:bookmarkStart w:id="214" w:name="_Toc1770506038"/>
      <w:bookmarkStart w:id="215" w:name="_Toc291944202"/>
      <w:bookmarkStart w:id="216" w:name="_Toc374745483"/>
      <w:r>
        <w:rPr>
          <w:rFonts w:hint="eastAsia" w:ascii="Times New Roman" w:hAnsi="Times New Roman" w:eastAsia="仿宋_GB2312" w:cs="Times New Roman"/>
          <w:b/>
          <w:color w:val="000000"/>
          <w:sz w:val="32"/>
          <w:szCs w:val="20"/>
          <w:highlight w:val="none"/>
          <w:lang w:val="en-US" w:eastAsia="zh-CN"/>
        </w:rPr>
        <w:t>3.构建共建共享防震减灾格局</w:t>
      </w:r>
      <w:bookmarkEnd w:id="214"/>
      <w:bookmarkEnd w:id="215"/>
      <w:bookmarkEnd w:id="216"/>
    </w:p>
    <w:p w14:paraId="12844437">
      <w:pPr>
        <w:keepNext w:val="0"/>
        <w:keepLines w:val="0"/>
        <w:widowControl/>
        <w:suppressLineNumbers w:val="0"/>
        <w:pBdr>
          <w:top w:val="none" w:color="auto" w:sz="0" w:space="0"/>
          <w:left w:val="none" w:color="auto" w:sz="0" w:space="0"/>
          <w:bottom w:val="none" w:color="auto" w:sz="0" w:space="0"/>
          <w:right w:val="none" w:color="auto" w:sz="0" w:space="0"/>
        </w:pBdr>
        <w:autoSpaceDE/>
        <w:autoSpaceDN/>
        <w:adjustRightInd w:val="0"/>
        <w:snapToGrid w:val="0"/>
        <w:spacing w:before="0" w:beforeAutospacing="0" w:after="0" w:afterAutospacing="0" w:line="560" w:lineRule="exact"/>
        <w:ind w:left="0" w:leftChars="0" w:right="0" w:firstLine="640" w:firstLineChars="200"/>
        <w:jc w:val="left"/>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lang w:val="en-US" w:eastAsia="zh-CN"/>
        </w:rPr>
        <w:t>强化专业人才支撑，</w:t>
      </w:r>
      <w:r>
        <w:rPr>
          <w:rFonts w:hint="eastAsia" w:ascii="Times New Roman" w:hAnsi="Times New Roman" w:eastAsia="仿宋_GB2312" w:cs="Times New Roman"/>
          <w:bCs/>
          <w:color w:val="000000"/>
          <w:sz w:val="32"/>
          <w:szCs w:val="20"/>
          <w:highlight w:val="none"/>
        </w:rPr>
        <w:t>加强防震减灾专业人才培养</w:t>
      </w:r>
      <w:r>
        <w:rPr>
          <w:rFonts w:hint="eastAsia" w:ascii="Times New Roman" w:hAnsi="Times New Roman" w:eastAsia="仿宋_GB2312" w:cs="Times New Roman"/>
          <w:bCs/>
          <w:color w:val="000000"/>
          <w:sz w:val="32"/>
          <w:szCs w:val="20"/>
          <w:highlight w:val="none"/>
          <w:lang w:val="en-US" w:eastAsia="zh-CN"/>
        </w:rPr>
        <w:t>与引进</w:t>
      </w:r>
      <w:r>
        <w:rPr>
          <w:rFonts w:hint="eastAsia" w:ascii="Times New Roman" w:hAnsi="Times New Roman" w:eastAsia="仿宋_GB2312" w:cs="Times New Roman"/>
          <w:bCs/>
          <w:color w:val="000000"/>
          <w:sz w:val="32"/>
          <w:szCs w:val="20"/>
          <w:highlight w:val="none"/>
        </w:rPr>
        <w:t>，打造高素质、专业化的工作队伍。</w:t>
      </w:r>
      <w:r>
        <w:rPr>
          <w:rFonts w:hint="eastAsia" w:ascii="Times New Roman" w:hAnsi="Times New Roman" w:eastAsia="仿宋_GB2312" w:cs="Times New Roman"/>
          <w:bCs/>
          <w:color w:val="000000"/>
          <w:sz w:val="32"/>
          <w:szCs w:val="20"/>
          <w:highlight w:val="none"/>
          <w:lang w:val="en-US" w:eastAsia="zh-CN"/>
        </w:rPr>
        <w:t>定期</w:t>
      </w:r>
      <w:r>
        <w:rPr>
          <w:rFonts w:hint="eastAsia" w:ascii="Times New Roman" w:hAnsi="Times New Roman" w:eastAsia="仿宋_GB2312" w:cs="Times New Roman"/>
          <w:bCs/>
          <w:color w:val="000000"/>
          <w:sz w:val="32"/>
          <w:szCs w:val="20"/>
          <w:highlight w:val="none"/>
        </w:rPr>
        <w:t>开展基层防震减灾工作人员培训，</w:t>
      </w:r>
      <w:r>
        <w:rPr>
          <w:rFonts w:hint="eastAsia" w:ascii="Times New Roman" w:hAnsi="Times New Roman" w:eastAsia="仿宋_GB2312" w:cs="Times New Roman"/>
          <w:bCs/>
          <w:color w:val="000000"/>
          <w:sz w:val="32"/>
          <w:szCs w:val="20"/>
          <w:highlight w:val="none"/>
          <w:lang w:val="en-US" w:eastAsia="zh-CN"/>
        </w:rPr>
        <w:t>持续</w:t>
      </w:r>
      <w:r>
        <w:rPr>
          <w:rFonts w:hint="eastAsia" w:ascii="Times New Roman" w:hAnsi="Times New Roman" w:eastAsia="仿宋_GB2312" w:cs="Times New Roman"/>
          <w:bCs/>
          <w:color w:val="000000"/>
          <w:sz w:val="32"/>
          <w:szCs w:val="20"/>
          <w:highlight w:val="none"/>
        </w:rPr>
        <w:t>提升业务能力和专业水平。建立专家智库，为防震减灾工作提供智力支持。完善人才激励</w:t>
      </w:r>
      <w:r>
        <w:rPr>
          <w:rFonts w:hint="eastAsia" w:ascii="Times New Roman" w:hAnsi="Times New Roman" w:eastAsia="仿宋_GB2312" w:cs="Times New Roman"/>
          <w:bCs/>
          <w:color w:val="000000"/>
          <w:sz w:val="32"/>
          <w:szCs w:val="20"/>
          <w:highlight w:val="none"/>
          <w:lang w:val="en-US" w:eastAsia="zh-CN"/>
        </w:rPr>
        <w:t>与评价</w:t>
      </w:r>
      <w:r>
        <w:rPr>
          <w:rFonts w:hint="eastAsia" w:ascii="Times New Roman" w:hAnsi="Times New Roman" w:eastAsia="仿宋_GB2312" w:cs="Times New Roman"/>
          <w:bCs/>
          <w:color w:val="000000"/>
          <w:sz w:val="32"/>
          <w:szCs w:val="20"/>
          <w:highlight w:val="none"/>
        </w:rPr>
        <w:t>机制，</w:t>
      </w:r>
      <w:r>
        <w:rPr>
          <w:rFonts w:hint="eastAsia" w:ascii="Times New Roman" w:hAnsi="Times New Roman" w:eastAsia="仿宋_GB2312" w:cs="Times New Roman"/>
          <w:bCs/>
          <w:color w:val="000000"/>
          <w:sz w:val="32"/>
          <w:szCs w:val="20"/>
          <w:highlight w:val="none"/>
          <w:lang w:val="en-US" w:eastAsia="zh-CN"/>
        </w:rPr>
        <w:t>充分</w:t>
      </w:r>
      <w:r>
        <w:rPr>
          <w:rFonts w:hint="eastAsia" w:ascii="Times New Roman" w:hAnsi="Times New Roman" w:eastAsia="仿宋_GB2312" w:cs="Times New Roman"/>
          <w:bCs/>
          <w:color w:val="000000"/>
          <w:sz w:val="32"/>
          <w:szCs w:val="20"/>
          <w:highlight w:val="none"/>
        </w:rPr>
        <w:t>激发创新创造活力。</w:t>
      </w:r>
      <w:r>
        <w:rPr>
          <w:rFonts w:hint="eastAsia" w:ascii="Times New Roman" w:hAnsi="Times New Roman" w:eastAsia="仿宋_GB2312" w:cs="Times New Roman"/>
          <w:bCs/>
          <w:color w:val="000000"/>
          <w:sz w:val="32"/>
          <w:szCs w:val="20"/>
          <w:highlight w:val="none"/>
          <w:lang w:val="en-US" w:eastAsia="zh-CN"/>
        </w:rPr>
        <w:t>推动多方协同合作，</w:t>
      </w:r>
      <w:r>
        <w:rPr>
          <w:rFonts w:hint="eastAsia" w:ascii="Times New Roman" w:hAnsi="Times New Roman" w:eastAsia="仿宋_GB2312" w:cs="Times New Roman"/>
          <w:bCs/>
          <w:color w:val="000000"/>
          <w:kern w:val="2"/>
          <w:sz w:val="32"/>
          <w:szCs w:val="20"/>
          <w:highlight w:val="none"/>
          <w:lang w:val="en-US" w:eastAsia="zh-CN" w:bidi="ar"/>
        </w:rPr>
        <w:t>深化与科研院所、高校在监测预报、地震构造探查、情景构建等领域的深度合作，引导和规范行业部门、科研机构、高校及社会力量有序参与防震减灾公共服务，形成共建共享的良好格局。</w:t>
      </w:r>
      <w:r>
        <w:rPr>
          <w:rFonts w:hint="eastAsia" w:ascii="Times New Roman" w:hAnsi="Times New Roman" w:eastAsia="仿宋_GB2312" w:cs="Times New Roman"/>
          <w:bCs/>
          <w:color w:val="000000"/>
          <w:sz w:val="32"/>
          <w:szCs w:val="20"/>
          <w:highlight w:val="none"/>
        </w:rPr>
        <w:t>深化</w:t>
      </w:r>
      <w:r>
        <w:rPr>
          <w:rFonts w:hint="eastAsia" w:ascii="Times New Roman" w:hAnsi="Times New Roman" w:eastAsia="仿宋_GB2312" w:cs="Times New Roman"/>
          <w:bCs/>
          <w:color w:val="000000"/>
          <w:sz w:val="32"/>
          <w:szCs w:val="20"/>
          <w:highlight w:val="none"/>
          <w:lang w:val="en-US" w:eastAsia="zh-CN"/>
        </w:rPr>
        <w:t>公众</w:t>
      </w:r>
      <w:r>
        <w:rPr>
          <w:rFonts w:hint="eastAsia" w:ascii="Times New Roman" w:hAnsi="Times New Roman" w:eastAsia="仿宋_GB2312" w:cs="Times New Roman"/>
          <w:bCs/>
          <w:color w:val="000000"/>
          <w:sz w:val="32"/>
          <w:szCs w:val="20"/>
          <w:highlight w:val="none"/>
        </w:rPr>
        <w:t>科普宣传</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围绕地震基础知识、监测预警、风险防治、应急避险、自救互救等重点内容，开发系列化、特色化的科普产品。建立防震减灾科普志愿者队伍，开展常态化科普志愿服务活动。加强与媒体合作，开设专题专栏，广泛传播防震减灾知识和技能</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lang w:val="en-US" w:eastAsia="zh-CN"/>
        </w:rPr>
        <w:t>提升公众防灾素养</w:t>
      </w:r>
      <w:r>
        <w:rPr>
          <w:rFonts w:hint="eastAsia" w:ascii="Times New Roman" w:hAnsi="Times New Roman" w:eastAsia="仿宋_GB2312" w:cs="Times New Roman"/>
          <w:bCs/>
          <w:color w:val="000000"/>
          <w:sz w:val="32"/>
          <w:szCs w:val="20"/>
          <w:highlight w:val="none"/>
        </w:rPr>
        <w:t>。</w:t>
      </w:r>
    </w:p>
    <w:p w14:paraId="09C00861">
      <w:pPr>
        <w:adjustRightInd w:val="0"/>
        <w:snapToGrid w:val="0"/>
        <w:spacing w:line="560" w:lineRule="exact"/>
        <w:ind w:firstLine="640" w:firstLineChars="200"/>
        <w:outlineLvl w:val="1"/>
        <w:rPr>
          <w:rFonts w:hint="eastAsia" w:ascii="Times New Roman" w:hAnsi="Times New Roman" w:eastAsia="楷体_GB2312" w:cs="Times New Roman"/>
          <w:color w:val="000000"/>
          <w:sz w:val="32"/>
          <w:szCs w:val="32"/>
          <w:highlight w:val="none"/>
          <w:lang w:val="en-US" w:eastAsia="zh-CN"/>
        </w:rPr>
      </w:pPr>
      <w:bookmarkStart w:id="217" w:name="_Toc27708"/>
      <w:bookmarkStart w:id="218" w:name="_Toc3190"/>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七</w:t>
      </w:r>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强化创新驱动引领</w:t>
      </w:r>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构建智慧应急支撑体系</w:t>
      </w:r>
      <w:bookmarkEnd w:id="217"/>
      <w:bookmarkEnd w:id="218"/>
    </w:p>
    <w:p w14:paraId="56C2E92C">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rPr>
        <w:t>1.强化</w:t>
      </w:r>
      <w:r>
        <w:rPr>
          <w:rFonts w:hint="eastAsia" w:ascii="Times New Roman" w:hAnsi="Times New Roman" w:eastAsia="仿宋_GB2312" w:cs="Times New Roman"/>
          <w:b/>
          <w:color w:val="000000"/>
          <w:sz w:val="32"/>
          <w:szCs w:val="20"/>
          <w:highlight w:val="none"/>
          <w:lang w:val="en-US" w:eastAsia="zh-CN"/>
        </w:rPr>
        <w:t>智慧应急基础保障</w:t>
      </w:r>
    </w:p>
    <w:p w14:paraId="11DE5A84">
      <w:pPr>
        <w:adjustRightInd w:val="0"/>
        <w:snapToGrid w:val="0"/>
        <w:spacing w:line="560" w:lineRule="exact"/>
        <w:ind w:firstLine="640" w:firstLineChars="200"/>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0"/>
          <w:highlight w:val="none"/>
        </w:rPr>
        <w:t>构建智慧应急新范式，推进应急管理智能平台建设</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8"/>
          <w:highlight w:val="none"/>
        </w:rPr>
        <w:t>深化数据挖掘与应用，</w:t>
      </w:r>
      <w:r>
        <w:rPr>
          <w:rFonts w:hint="eastAsia" w:ascii="Times New Roman" w:hAnsi="Times New Roman" w:eastAsia="仿宋_GB2312" w:cs="Times New Roman"/>
          <w:bCs/>
          <w:color w:val="000000"/>
          <w:sz w:val="32"/>
          <w:szCs w:val="20"/>
          <w:highlight w:val="none"/>
          <w:lang w:eastAsia="zh-CN"/>
        </w:rPr>
        <w:t>提高应急管理的智能化水平</w:t>
      </w:r>
      <w:r>
        <w:rPr>
          <w:rFonts w:hint="eastAsia" w:ascii="Times New Roman" w:hAnsi="Times New Roman" w:eastAsia="仿宋_GB2312" w:cs="Times New Roman"/>
          <w:bCs/>
          <w:color w:val="000000"/>
          <w:sz w:val="32"/>
          <w:szCs w:val="20"/>
          <w:highlight w:val="none"/>
        </w:rPr>
        <w:t>。</w:t>
      </w:r>
      <w:r>
        <w:rPr>
          <w:rFonts w:hint="eastAsia" w:ascii="Times New Roman" w:hAnsi="Times New Roman" w:eastAsia="仿宋_GB2312" w:cs="Times New Roman"/>
          <w:bCs/>
          <w:color w:val="000000"/>
          <w:kern w:val="2"/>
          <w:sz w:val="32"/>
          <w:szCs w:val="28"/>
          <w:highlight w:val="none"/>
          <w:lang w:val="en-US" w:eastAsia="zh-CN" w:bidi="ar-SA"/>
        </w:rPr>
        <w:t>推进应急管理工作与科技百园建设深度融合。发挥行业部门牵引作用，充分调动街乡、链主企业、高校院所、人才、专业化机构创新主体的积极性，构建“行业-园区-主体-属地”一体化发展格局。强化科技创新承载能力，依托朝阳区人工智能、产业互联网、科技服务三大主导产业赛道，打造安全应急细分领域园区。</w:t>
      </w:r>
      <w:r>
        <w:rPr>
          <w:rFonts w:hint="eastAsia" w:ascii="Times New Roman" w:hAnsi="Times New Roman" w:eastAsia="仿宋_GB2312" w:cs="Times New Roman"/>
          <w:bCs/>
          <w:color w:val="000000"/>
          <w:sz w:val="32"/>
          <w:szCs w:val="28"/>
          <w:highlight w:val="none"/>
        </w:rPr>
        <w:t>建立全灾种应急通信手段，实现多种通信终端融合联通，确保极端条件下通信畅通。推进应急关键技术与装备研究应用，充分利用北京高校科研院所资源优势，联合高校和科研机构、高科技企业、社会组织等专业团队技术力量，共同参与应急管理信息化的研究和创新，聚焦应急管理实战需求，贴近应急管理实际业务场景，构建长效、开放的“产学研用”技术联合创新发展模式。</w:t>
      </w:r>
    </w:p>
    <w:p w14:paraId="7CA48209">
      <w:pPr>
        <w:adjustRightInd w:val="0"/>
        <w:snapToGrid w:val="0"/>
        <w:spacing w:line="560" w:lineRule="exact"/>
        <w:ind w:firstLine="643" w:firstLineChars="200"/>
        <w:outlineLvl w:val="2"/>
        <w:rPr>
          <w:rFonts w:hint="default" w:ascii="Times New Roman" w:hAnsi="Times New Roman" w:eastAsia="仿宋_GB2312" w:cs="Times New Roman"/>
          <w:b/>
          <w:color w:val="000000"/>
          <w:sz w:val="32"/>
          <w:szCs w:val="20"/>
          <w:highlight w:val="none"/>
          <w:lang w:val="en-US" w:eastAsia="zh-CN"/>
        </w:rPr>
      </w:pPr>
      <w:r>
        <w:rPr>
          <w:rFonts w:hint="eastAsia" w:ascii="Times New Roman" w:hAnsi="Times New Roman" w:eastAsia="仿宋_GB2312" w:cs="Times New Roman"/>
          <w:b/>
          <w:color w:val="000000"/>
          <w:sz w:val="32"/>
          <w:szCs w:val="20"/>
          <w:highlight w:val="none"/>
        </w:rPr>
        <w:t>2.推进</w:t>
      </w:r>
      <w:r>
        <w:rPr>
          <w:rFonts w:hint="eastAsia" w:ascii="Times New Roman" w:hAnsi="Times New Roman" w:eastAsia="仿宋_GB2312" w:cs="Times New Roman"/>
          <w:b/>
          <w:color w:val="000000"/>
          <w:sz w:val="32"/>
          <w:szCs w:val="20"/>
          <w:highlight w:val="none"/>
          <w:lang w:val="en-US" w:eastAsia="zh-CN"/>
        </w:rPr>
        <w:t>智慧监测预警</w:t>
      </w:r>
    </w:p>
    <w:p w14:paraId="11A39951">
      <w:pPr>
        <w:adjustRightInd w:val="0"/>
        <w:snapToGrid w:val="0"/>
        <w:spacing w:line="560" w:lineRule="exact"/>
        <w:ind w:firstLine="640" w:firstLineChars="200"/>
        <w:rPr>
          <w:rFonts w:ascii="Times New Roman" w:hAnsi="Times New Roman" w:eastAsia="仿宋_GB2312" w:cs="Times New Roman"/>
          <w:bCs/>
          <w:color w:val="000000"/>
          <w:sz w:val="32"/>
          <w:szCs w:val="20"/>
          <w:highlight w:val="none"/>
        </w:rPr>
      </w:pPr>
      <w:r>
        <w:rPr>
          <w:rFonts w:ascii="仿宋_GB2312" w:hAnsi="仿宋_GB2312" w:eastAsia="仿宋_GB2312" w:cs="仿宋_GB2312"/>
          <w:color w:val="000000" w:themeColor="text1"/>
          <w:sz w:val="32"/>
          <w:szCs w:val="32"/>
          <w:highlight w:val="none"/>
          <w14:textFill>
            <w14:solidFill>
              <w14:schemeClr w14:val="tx1"/>
            </w14:solidFill>
          </w14:textFill>
        </w:rPr>
        <w:t>深化实施“智慧应急”战略，</w:t>
      </w:r>
      <w:r>
        <w:rPr>
          <w:rFonts w:hint="eastAsia" w:ascii="Times New Roman" w:hAnsi="Times New Roman" w:eastAsia="仿宋_GB2312" w:cs="Times New Roman"/>
          <w:bCs/>
          <w:color w:val="000000"/>
          <w:sz w:val="32"/>
          <w:szCs w:val="28"/>
          <w:highlight w:val="none"/>
        </w:rPr>
        <w:t>全面推动卫星遥感、人工智能、区块链、5G等先进技术在城市监测预警、应急救援等领域的深度应用。推进应急机器人配备应用，加大5G监测预警终端、智能防护装备、无人化救援装备等安全应急装备的推广应用。深化监测预警应用，以新质生产力赋能新质战斗力，持续加大重点行业领域安全风险监测预警系统建设和推广应用力度。</w:t>
      </w:r>
      <w:r>
        <w:rPr>
          <w:rFonts w:hint="eastAsia" w:ascii="仿宋_GB2312" w:hAnsi="仿宋_GB2312" w:eastAsia="仿宋_GB2312" w:cs="仿宋_GB2312"/>
          <w:color w:val="000000" w:themeColor="text1"/>
          <w:sz w:val="32"/>
          <w:szCs w:val="32"/>
          <w:highlight w:val="none"/>
          <w14:textFill>
            <w14:solidFill>
              <w14:schemeClr w14:val="tx1"/>
            </w14:solidFill>
          </w14:textFill>
        </w:rPr>
        <w:t>提高“企安安”系统的使用质效，推动“可视化、可量化、可考核”的智慧应急监管新模式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，提高风险隐患排查整改水平。</w:t>
      </w:r>
      <w:r>
        <w:rPr>
          <w:rFonts w:hint="eastAsia" w:ascii="Times New Roman" w:hAnsi="Times New Roman" w:eastAsia="仿宋_GB2312" w:cs="Times New Roman"/>
          <w:bCs/>
          <w:color w:val="000000"/>
          <w:sz w:val="32"/>
          <w:szCs w:val="28"/>
          <w:highlight w:val="none"/>
        </w:rPr>
        <w:t>推动</w:t>
      </w:r>
      <w:r>
        <w:rPr>
          <w:rFonts w:hint="eastAsia" w:ascii="仿宋_GB2312" w:hAnsi="仿宋_GB2312" w:eastAsia="仿宋_GB2312" w:cs="仿宋_GB2312"/>
          <w:color w:val="000000" w:themeColor="text1"/>
          <w:sz w:val="32"/>
          <w:szCs w:val="32"/>
          <w:highlight w:val="none"/>
          <w14:textFill>
            <w14:solidFill>
              <w14:schemeClr w14:val="tx1"/>
            </w14:solidFill>
          </w14:textFill>
        </w:rPr>
        <w:t>“智慧应急”</w:t>
      </w:r>
      <w:r>
        <w:rPr>
          <w:rFonts w:hint="eastAsia" w:ascii="Times New Roman" w:hAnsi="Times New Roman" w:eastAsia="仿宋_GB2312" w:cs="Times New Roman"/>
          <w:bCs/>
          <w:color w:val="000000"/>
          <w:sz w:val="32"/>
          <w:szCs w:val="28"/>
          <w:highlight w:val="none"/>
        </w:rPr>
        <w:t>和基层治理有机融合，推广应用符合基层实际需求的科技手段和信息化系统。通过户外大屏，楼宇电视及时发布预警以及其他重要信息，提高全区预警信息覆盖率。</w:t>
      </w:r>
    </w:p>
    <w:p w14:paraId="2C3EA63B">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3.加强专业人才培养</w:t>
      </w:r>
    </w:p>
    <w:p w14:paraId="3047C93E">
      <w:pPr>
        <w:adjustRightInd w:val="0"/>
        <w:snapToGrid w:val="0"/>
        <w:spacing w:line="560" w:lineRule="exact"/>
        <w:ind w:firstLine="640" w:firstLineChars="200"/>
        <w:rPr>
          <w:rFonts w:hint="eastAsia"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持续</w:t>
      </w:r>
      <w:r>
        <w:rPr>
          <w:rFonts w:ascii="Times New Roman" w:hAnsi="Times New Roman" w:eastAsia="仿宋_GB2312" w:cs="Times New Roman"/>
          <w:bCs/>
          <w:color w:val="000000"/>
          <w:sz w:val="32"/>
          <w:szCs w:val="20"/>
          <w:highlight w:val="none"/>
        </w:rPr>
        <w:t>拓宽</w:t>
      </w:r>
      <w:r>
        <w:rPr>
          <w:rFonts w:hint="eastAsia" w:ascii="Times New Roman" w:hAnsi="Times New Roman" w:eastAsia="仿宋_GB2312" w:cs="Times New Roman"/>
          <w:bCs/>
          <w:color w:val="000000"/>
          <w:sz w:val="32"/>
          <w:szCs w:val="20"/>
          <w:highlight w:val="none"/>
        </w:rPr>
        <w:t>应急人才</w:t>
      </w:r>
      <w:r>
        <w:rPr>
          <w:rFonts w:ascii="Times New Roman" w:hAnsi="Times New Roman" w:eastAsia="仿宋_GB2312" w:cs="Times New Roman"/>
          <w:bCs/>
          <w:color w:val="000000"/>
          <w:sz w:val="32"/>
          <w:szCs w:val="20"/>
          <w:highlight w:val="none"/>
        </w:rPr>
        <w:t>培养渠道，加强与专业高校的战略合作，探索与双一流高校共建应急管理相关专业学生实习实践培育基地，大力培养应急管理专业人才。畅通应急管理人才引进渠道，持续引进和培养高危行业安全管理、技术、工程、执法等各类人才</w:t>
      </w:r>
      <w:r>
        <w:rPr>
          <w:rFonts w:hint="eastAsia" w:ascii="Times New Roman" w:hAnsi="Times New Roman" w:eastAsia="仿宋_GB2312" w:cs="Times New Roman"/>
          <w:bCs/>
          <w:color w:val="000000"/>
          <w:sz w:val="32"/>
          <w:szCs w:val="20"/>
          <w:highlight w:val="none"/>
        </w:rPr>
        <w:t>，</w:t>
      </w:r>
      <w:r>
        <w:rPr>
          <w:rFonts w:ascii="Times New Roman" w:hAnsi="Times New Roman" w:eastAsia="仿宋_GB2312" w:cs="Times New Roman"/>
          <w:bCs/>
          <w:color w:val="000000"/>
          <w:sz w:val="32"/>
          <w:szCs w:val="20"/>
          <w:highlight w:val="none"/>
        </w:rPr>
        <w:t>尽快引进和培养应急预案编制、应急指挥、应急处置、应急信息化人才</w:t>
      </w:r>
      <w:r>
        <w:rPr>
          <w:rFonts w:hint="eastAsia" w:ascii="Times New Roman" w:hAnsi="Times New Roman" w:eastAsia="仿宋_GB2312" w:cs="Times New Roman"/>
          <w:bCs/>
          <w:color w:val="000000"/>
          <w:sz w:val="32"/>
          <w:szCs w:val="20"/>
          <w:highlight w:val="none"/>
        </w:rPr>
        <w:t>，</w:t>
      </w:r>
      <w:r>
        <w:rPr>
          <w:rFonts w:ascii="Times New Roman" w:hAnsi="Times New Roman" w:eastAsia="仿宋_GB2312" w:cs="Times New Roman"/>
          <w:bCs/>
          <w:color w:val="000000"/>
          <w:sz w:val="32"/>
          <w:szCs w:val="20"/>
          <w:highlight w:val="none"/>
        </w:rPr>
        <w:t>积极引进和培养自然灾害风险评估及监测预警、火灾管理、防汛抗旱、地震和地质灾害防控等人才</w:t>
      </w:r>
      <w:r>
        <w:rPr>
          <w:rFonts w:hint="eastAsia" w:ascii="Times New Roman" w:hAnsi="Times New Roman" w:eastAsia="仿宋_GB2312" w:cs="Times New Roman"/>
          <w:bCs/>
          <w:color w:val="000000"/>
          <w:sz w:val="32"/>
          <w:szCs w:val="20"/>
          <w:highlight w:val="none"/>
        </w:rPr>
        <w:t>，持续提升应急人才储备</w:t>
      </w:r>
      <w:r>
        <w:rPr>
          <w:rFonts w:ascii="Times New Roman" w:hAnsi="Times New Roman" w:eastAsia="仿宋_GB2312" w:cs="Times New Roman"/>
          <w:bCs/>
          <w:color w:val="000000"/>
          <w:sz w:val="32"/>
          <w:szCs w:val="20"/>
          <w:highlight w:val="none"/>
        </w:rPr>
        <w:t>。定期开展多元化培训，打造应急管理党员干部的知识、素质、能力体系，逐步形成</w:t>
      </w:r>
      <w:r>
        <w:rPr>
          <w:rFonts w:hint="eastAsia" w:ascii="Times New Roman" w:hAnsi="Times New Roman" w:eastAsia="仿宋_GB2312" w:cs="Times New Roman"/>
          <w:bCs/>
          <w:color w:val="000000"/>
          <w:sz w:val="32"/>
          <w:szCs w:val="20"/>
          <w:highlight w:val="none"/>
        </w:rPr>
        <w:t>“</w:t>
      </w:r>
      <w:r>
        <w:rPr>
          <w:rFonts w:ascii="Times New Roman" w:hAnsi="Times New Roman" w:eastAsia="仿宋_GB2312" w:cs="Times New Roman"/>
          <w:bCs/>
          <w:color w:val="000000"/>
          <w:sz w:val="32"/>
          <w:szCs w:val="20"/>
          <w:highlight w:val="none"/>
        </w:rPr>
        <w:t>一专多能</w:t>
      </w:r>
      <w:r>
        <w:rPr>
          <w:rFonts w:hint="eastAsia" w:ascii="Times New Roman" w:hAnsi="Times New Roman" w:eastAsia="仿宋_GB2312" w:cs="Times New Roman"/>
          <w:bCs/>
          <w:color w:val="000000"/>
          <w:sz w:val="32"/>
          <w:szCs w:val="20"/>
          <w:highlight w:val="none"/>
        </w:rPr>
        <w:t>”“</w:t>
      </w:r>
      <w:r>
        <w:rPr>
          <w:rFonts w:ascii="Times New Roman" w:hAnsi="Times New Roman" w:eastAsia="仿宋_GB2312" w:cs="Times New Roman"/>
          <w:bCs/>
          <w:color w:val="000000"/>
          <w:sz w:val="32"/>
          <w:szCs w:val="20"/>
          <w:highlight w:val="none"/>
        </w:rPr>
        <w:t>通才专才互补</w:t>
      </w:r>
      <w:r>
        <w:rPr>
          <w:rFonts w:hint="eastAsia" w:ascii="Times New Roman" w:hAnsi="Times New Roman" w:eastAsia="仿宋_GB2312" w:cs="Times New Roman"/>
          <w:bCs/>
          <w:color w:val="000000"/>
          <w:sz w:val="32"/>
          <w:szCs w:val="20"/>
          <w:highlight w:val="none"/>
        </w:rPr>
        <w:t>”</w:t>
      </w:r>
      <w:r>
        <w:rPr>
          <w:rFonts w:ascii="Times New Roman" w:hAnsi="Times New Roman" w:eastAsia="仿宋_GB2312" w:cs="Times New Roman"/>
          <w:bCs/>
          <w:color w:val="000000"/>
          <w:sz w:val="32"/>
          <w:szCs w:val="20"/>
          <w:highlight w:val="none"/>
        </w:rPr>
        <w:t>人才队伍结构。</w:t>
      </w:r>
      <w:r>
        <w:rPr>
          <w:rFonts w:hint="eastAsia" w:ascii="Times New Roman" w:hAnsi="Times New Roman" w:eastAsia="仿宋_GB2312" w:cs="Times New Roman"/>
          <w:bCs/>
          <w:color w:val="000000"/>
          <w:sz w:val="32"/>
          <w:szCs w:val="20"/>
          <w:highlight w:val="none"/>
        </w:rPr>
        <w:t>完善基层应急人员待遇保障，将应急管理综合行政执法技术检查员、从事安全生产监管辅助工作的城市协管员、政府专职消防员等基层应急管理人员待遇保障所需经费纳入地方财政预算，并依据“优绩优酬、职称激励”原则，建立健全差异化薪酬体系。</w:t>
      </w:r>
    </w:p>
    <w:p w14:paraId="1FD20018">
      <w:pPr>
        <w:adjustRightInd w:val="0"/>
        <w:snapToGrid w:val="0"/>
        <w:spacing w:line="560" w:lineRule="exact"/>
        <w:ind w:firstLine="640" w:firstLineChars="200"/>
        <w:outlineLvl w:val="1"/>
        <w:rPr>
          <w:rFonts w:hint="eastAsia" w:ascii="Times New Roman" w:hAnsi="Times New Roman" w:eastAsia="楷体_GB2312" w:cs="Times New Roman"/>
          <w:color w:val="000000"/>
          <w:sz w:val="32"/>
          <w:szCs w:val="32"/>
          <w:highlight w:val="none"/>
          <w:lang w:eastAsia="zh-CN"/>
        </w:rPr>
      </w:pPr>
      <w:bookmarkStart w:id="219" w:name="_Toc25174"/>
      <w:bookmarkStart w:id="220" w:name="_Toc22735"/>
      <w:r>
        <w:rPr>
          <w:rFonts w:hint="eastAsia" w:ascii="Times New Roman" w:hAnsi="Times New Roman" w:eastAsia="楷体_GB2312" w:cs="Times New Roman"/>
          <w:color w:val="000000"/>
          <w:sz w:val="32"/>
          <w:szCs w:val="32"/>
          <w:highlight w:val="none"/>
        </w:rPr>
        <w:t>（</w:t>
      </w:r>
      <w:r>
        <w:rPr>
          <w:rFonts w:hint="eastAsia" w:ascii="Times New Roman" w:hAnsi="Times New Roman" w:eastAsia="楷体_GB2312" w:cs="Times New Roman"/>
          <w:color w:val="000000"/>
          <w:sz w:val="32"/>
          <w:szCs w:val="32"/>
          <w:highlight w:val="none"/>
          <w:lang w:val="en-US" w:eastAsia="zh-CN"/>
        </w:rPr>
        <w:t>八</w:t>
      </w:r>
      <w:r>
        <w:rPr>
          <w:rFonts w:hint="eastAsia" w:ascii="Times New Roman" w:hAnsi="Times New Roman" w:eastAsia="楷体_GB2312" w:cs="Times New Roman"/>
          <w:color w:val="000000"/>
          <w:sz w:val="32"/>
          <w:szCs w:val="32"/>
          <w:highlight w:val="none"/>
        </w:rPr>
        <w:t>）深耕基层治理创新，</w:t>
      </w:r>
      <w:r>
        <w:rPr>
          <w:rFonts w:hint="eastAsia" w:ascii="Times New Roman" w:hAnsi="Times New Roman" w:eastAsia="楷体_GB2312" w:cs="Times New Roman"/>
          <w:color w:val="000000"/>
          <w:sz w:val="32"/>
          <w:szCs w:val="32"/>
          <w:highlight w:val="none"/>
          <w:lang w:val="en-US" w:eastAsia="zh-CN"/>
        </w:rPr>
        <w:t>夯实</w:t>
      </w:r>
      <w:r>
        <w:rPr>
          <w:rFonts w:hint="eastAsia" w:ascii="Times New Roman" w:hAnsi="Times New Roman" w:eastAsia="楷体_GB2312" w:cs="Times New Roman"/>
          <w:color w:val="000000"/>
          <w:sz w:val="32"/>
          <w:szCs w:val="32"/>
          <w:highlight w:val="none"/>
        </w:rPr>
        <w:t>基层应急管理能力</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19"/>
      <w:bookmarkEnd w:id="220"/>
    </w:p>
    <w:p w14:paraId="5068C52D">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1.完善基层应急管理体系</w:t>
      </w:r>
    </w:p>
    <w:p w14:paraId="7C6A2C35">
      <w:pPr>
        <w:adjustRightInd w:val="0"/>
        <w:snapToGrid w:val="0"/>
        <w:spacing w:line="560" w:lineRule="exact"/>
        <w:ind w:firstLine="640" w:firstLineChars="200"/>
        <w:rPr>
          <w:rFonts w:hint="eastAsia" w:ascii="Times New Roman" w:hAnsi="Times New Roman" w:eastAsia="仿宋_GB2312" w:cs="Times New Roman"/>
          <w:bCs/>
          <w:color w:val="000000"/>
          <w:sz w:val="32"/>
          <w:szCs w:val="28"/>
          <w:highlight w:val="none"/>
          <w:lang w:eastAsia="zh-CN"/>
        </w:rPr>
      </w:pPr>
      <w:r>
        <w:rPr>
          <w:rFonts w:hint="eastAsia" w:ascii="Times New Roman" w:hAnsi="Times New Roman" w:eastAsia="仿宋_GB2312" w:cs="Times New Roman"/>
          <w:bCs/>
          <w:color w:val="000000"/>
          <w:sz w:val="32"/>
          <w:szCs w:val="28"/>
          <w:highlight w:val="none"/>
          <w:lang w:val="en-US" w:eastAsia="zh-CN"/>
        </w:rPr>
        <w:t>健全</w:t>
      </w:r>
      <w:r>
        <w:rPr>
          <w:rFonts w:hint="eastAsia" w:ascii="Times New Roman" w:hAnsi="Times New Roman" w:eastAsia="仿宋_GB2312" w:cs="Times New Roman"/>
          <w:bCs/>
          <w:color w:val="000000"/>
          <w:sz w:val="32"/>
          <w:szCs w:val="28"/>
          <w:highlight w:val="none"/>
        </w:rPr>
        <w:t>基层应急组织体系建设，充分发挥街乡党建工作协调委员会作用，</w:t>
      </w:r>
      <w:r>
        <w:rPr>
          <w:rFonts w:hint="eastAsia" w:ascii="Times New Roman" w:hAnsi="Times New Roman" w:eastAsia="仿宋_GB2312" w:cs="Times New Roman"/>
          <w:bCs/>
          <w:color w:val="000000"/>
          <w:sz w:val="32"/>
          <w:szCs w:val="28"/>
          <w:highlight w:val="none"/>
          <w:lang w:val="en-US" w:eastAsia="zh-CN"/>
        </w:rPr>
        <w:t>统筹调配</w:t>
      </w:r>
      <w:r>
        <w:rPr>
          <w:rFonts w:hint="eastAsia" w:ascii="Times New Roman" w:hAnsi="Times New Roman" w:eastAsia="仿宋_GB2312" w:cs="Times New Roman"/>
          <w:bCs/>
          <w:color w:val="000000"/>
          <w:sz w:val="32"/>
          <w:szCs w:val="28"/>
          <w:highlight w:val="none"/>
        </w:rPr>
        <w:t>队伍、物资、场所等各类应急资源，建立区、街乡、社区（村）“三级”应急联合体</w:t>
      </w:r>
      <w:r>
        <w:rPr>
          <w:rFonts w:hint="eastAsia" w:ascii="Times New Roman" w:hAnsi="Times New Roman" w:eastAsia="仿宋_GB2312" w:cs="Times New Roman"/>
          <w:bCs/>
          <w:color w:val="000000"/>
          <w:sz w:val="32"/>
          <w:szCs w:val="28"/>
          <w:highlight w:val="none"/>
          <w:lang w:eastAsia="zh-CN"/>
        </w:rPr>
        <w:t>，因地制宜积极探索基层应消一体工作模式</w:t>
      </w:r>
      <w:r>
        <w:rPr>
          <w:rFonts w:hint="eastAsia" w:ascii="Times New Roman" w:hAnsi="Times New Roman" w:eastAsia="仿宋_GB2312" w:cs="Times New Roman"/>
          <w:bCs/>
          <w:color w:val="000000"/>
          <w:sz w:val="32"/>
          <w:szCs w:val="28"/>
          <w:highlight w:val="none"/>
        </w:rPr>
        <w:t>。落实“双报到”和干部下沉机制，将党员骨干编入基层应急队伍，建立“平时组团服务、应急就地入列”响应模式。依托“街乡吹哨、部门报到”和接诉即办机制，条块协同解决基层应急管理工作重点难点问题，形成党组织统一领导、政府依法履责、各类组织积极协同、群众广泛参与的基层应急管理工作格局。编制</w:t>
      </w:r>
      <w:r>
        <w:rPr>
          <w:rFonts w:hint="eastAsia" w:ascii="Times New Roman" w:hAnsi="Times New Roman" w:eastAsia="仿宋_GB2312" w:cs="Times New Roman"/>
          <w:bCs/>
          <w:color w:val="000000"/>
          <w:sz w:val="32"/>
          <w:szCs w:val="28"/>
          <w:highlight w:val="none"/>
          <w:lang w:val="en-US" w:eastAsia="zh-CN"/>
        </w:rPr>
        <w:t>街乡</w:t>
      </w:r>
      <w:r>
        <w:rPr>
          <w:rFonts w:hint="eastAsia" w:ascii="Times New Roman" w:hAnsi="Times New Roman" w:eastAsia="仿宋_GB2312" w:cs="Times New Roman"/>
          <w:bCs/>
          <w:color w:val="000000"/>
          <w:sz w:val="32"/>
          <w:szCs w:val="28"/>
          <w:highlight w:val="none"/>
        </w:rPr>
        <w:t>基层应急服务场所建设标准、应急社会动员工作指南及基层应急队伍培训大纲教材，系统推进基层应急管理标准化建设。细化街乡应急管理工作分工，依托网格化服务管理体系，探索建立“点、线、面”立体应急网格</w:t>
      </w:r>
      <w:r>
        <w:rPr>
          <w:rFonts w:hint="eastAsia" w:ascii="Times New Roman" w:hAnsi="Times New Roman" w:eastAsia="仿宋_GB2312" w:cs="Times New Roman"/>
          <w:bCs/>
          <w:color w:val="000000"/>
          <w:sz w:val="32"/>
          <w:szCs w:val="28"/>
          <w:highlight w:val="none"/>
          <w:lang w:eastAsia="zh-CN"/>
        </w:rPr>
        <w:t>，明确网格内的风险、责任人和资源</w:t>
      </w:r>
      <w:r>
        <w:rPr>
          <w:rFonts w:hint="eastAsia" w:ascii="Times New Roman" w:hAnsi="Times New Roman" w:eastAsia="仿宋_GB2312" w:cs="Times New Roman"/>
          <w:bCs/>
          <w:color w:val="000000"/>
          <w:sz w:val="32"/>
          <w:szCs w:val="28"/>
          <w:highlight w:val="none"/>
        </w:rPr>
        <w:t>。</w:t>
      </w:r>
    </w:p>
    <w:p w14:paraId="49615C70">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2.提升基层应急响应能力</w:t>
      </w:r>
    </w:p>
    <w:p w14:paraId="3B8FD5AB">
      <w:pPr>
        <w:adjustRightInd w:val="0"/>
        <w:snapToGrid w:val="0"/>
        <w:spacing w:line="560" w:lineRule="exact"/>
        <w:ind w:firstLine="640" w:firstLineChars="200"/>
        <w:rPr>
          <w:rFonts w:ascii="Times New Roman" w:hAnsi="Times New Roman" w:eastAsia="仿宋_GB2312" w:cs="Times New Roman"/>
          <w:bCs/>
          <w:color w:val="000000"/>
          <w:sz w:val="32"/>
          <w:szCs w:val="20"/>
          <w:highlight w:val="none"/>
        </w:rPr>
      </w:pPr>
      <w:r>
        <w:rPr>
          <w:rFonts w:hint="eastAsia" w:ascii="Times New Roman" w:hAnsi="Times New Roman" w:eastAsia="仿宋_GB2312" w:cs="Times New Roman"/>
          <w:bCs/>
          <w:color w:val="000000"/>
          <w:sz w:val="32"/>
          <w:szCs w:val="20"/>
          <w:highlight w:val="none"/>
        </w:rPr>
        <w:t>构建极端灾害场景下的应对机制，压缩指挥层级，明确</w:t>
      </w:r>
      <w:r>
        <w:rPr>
          <w:rFonts w:hint="eastAsia" w:ascii="Times New Roman" w:hAnsi="Times New Roman" w:eastAsia="仿宋_GB2312" w:cs="Times New Roman"/>
          <w:bCs/>
          <w:color w:val="000000"/>
          <w:sz w:val="32"/>
          <w:szCs w:val="20"/>
          <w:highlight w:val="none"/>
          <w:lang w:val="en-US" w:eastAsia="zh-CN"/>
        </w:rPr>
        <w:t>街乡</w:t>
      </w:r>
      <w:r>
        <w:rPr>
          <w:rFonts w:hint="eastAsia" w:ascii="Times New Roman" w:hAnsi="Times New Roman" w:eastAsia="仿宋_GB2312" w:cs="Times New Roman"/>
          <w:bCs/>
          <w:color w:val="000000"/>
          <w:sz w:val="32"/>
          <w:szCs w:val="20"/>
          <w:highlight w:val="none"/>
        </w:rPr>
        <w:t>领导干部在应急状态下的指挥权限与处置流程，强化先期处置与社会动员。加强基层应急预案编制，应急预案按区、街乡级管理，延伸到企事业单位、学校、医院、社会组织等。开展应急预案演练，街乡和社区（村）组织以先期处置、转移避险、自救互救为重点内容的综合演练，火灾高风险地区、城市内涝灾害险村和蓄滞洪区等要加强专项演练。突发事件主责部门和街乡应急指挥部建立“三图两表”（辖区地图、风险分布图、突发事件处置流程图，应急通信联络表、应急指挥与处置分级表）。推进应急指挥部体系建设，强化区应急部门统筹调度，提升协同应急能力，街乡依法先期处置，职能部门协调处置，应急力量专业处置。强化基层应急值守，严格落实市、区应急值守工作管理规范。完善报告制度，加强突发事件信息收集和报告，推动社区（村）、企业、学校、医院等基层单位落实报告信息的主体责任，建立行业系统和基层突发事件信息管理机制。持续推进应急广播系统建设，拓展应用场景</w:t>
      </w:r>
      <w:r>
        <w:rPr>
          <w:rFonts w:hint="eastAsia" w:ascii="Times New Roman" w:hAnsi="Times New Roman" w:eastAsia="仿宋_GB2312" w:cs="Times New Roman"/>
          <w:bCs/>
          <w:color w:val="000000"/>
          <w:sz w:val="32"/>
          <w:szCs w:val="20"/>
          <w:highlight w:val="none"/>
          <w:lang w:eastAsia="zh-CN"/>
        </w:rPr>
        <w:t>。</w:t>
      </w:r>
      <w:r>
        <w:rPr>
          <w:rFonts w:hint="eastAsia" w:ascii="Times New Roman" w:hAnsi="Times New Roman" w:eastAsia="仿宋_GB2312" w:cs="Times New Roman"/>
          <w:bCs/>
          <w:color w:val="000000"/>
          <w:sz w:val="32"/>
          <w:szCs w:val="20"/>
          <w:highlight w:val="none"/>
        </w:rPr>
        <w:t>提升应急物资响应效能，在街乡实施救灾物资前置储备探索，推动前置专业力量和应急物资装备。</w:t>
      </w:r>
    </w:p>
    <w:p w14:paraId="7E16906C">
      <w:pPr>
        <w:adjustRightInd w:val="0"/>
        <w:snapToGrid w:val="0"/>
        <w:spacing w:line="560" w:lineRule="exact"/>
        <w:ind w:firstLine="643" w:firstLineChars="200"/>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rPr>
        <w:t>3.提升基层应急处置能力</w:t>
      </w:r>
    </w:p>
    <w:p w14:paraId="5BD27792">
      <w:pPr>
        <w:adjustRightInd/>
        <w:snapToGrid/>
        <w:spacing w:line="560" w:lineRule="exact"/>
        <w:ind w:firstLine="640" w:firstLineChars="200"/>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rPr>
        <w:t>建强基层应急救援力量，指导</w:t>
      </w:r>
      <w:r>
        <w:rPr>
          <w:rFonts w:hint="eastAsia" w:ascii="Times New Roman" w:hAnsi="Times New Roman" w:eastAsia="仿宋_GB2312" w:cs="Times New Roman"/>
          <w:bCs/>
          <w:color w:val="000000"/>
          <w:sz w:val="32"/>
          <w:szCs w:val="28"/>
          <w:highlight w:val="none"/>
          <w:lang w:val="en-US" w:eastAsia="zh-CN"/>
        </w:rPr>
        <w:t>街乡</w:t>
      </w:r>
      <w:r>
        <w:rPr>
          <w:rFonts w:hint="eastAsia" w:ascii="Times New Roman" w:hAnsi="Times New Roman" w:eastAsia="仿宋_GB2312" w:cs="Times New Roman"/>
          <w:bCs/>
          <w:color w:val="000000"/>
          <w:sz w:val="32"/>
          <w:szCs w:val="28"/>
          <w:highlight w:val="none"/>
        </w:rPr>
        <w:t>整合专业救援力量、民兵、预备役人员、保安员、医务人员等。鼓励社区（村）以“两委”</w:t>
      </w:r>
      <w:r>
        <w:rPr>
          <w:rFonts w:hint="eastAsia" w:ascii="Times New Roman" w:hAnsi="Times New Roman" w:eastAsia="仿宋_GB2312" w:cs="Times New Roman"/>
          <w:bCs/>
          <w:color w:val="000000"/>
          <w:sz w:val="32"/>
          <w:szCs w:val="28"/>
          <w:highlight w:val="none"/>
          <w:lang w:val="en-US" w:eastAsia="zh-CN"/>
        </w:rPr>
        <w:t>工作人员</w:t>
      </w:r>
      <w:r>
        <w:rPr>
          <w:rFonts w:hint="eastAsia" w:ascii="Times New Roman" w:hAnsi="Times New Roman" w:eastAsia="仿宋_GB2312" w:cs="Times New Roman"/>
          <w:bCs/>
          <w:color w:val="000000"/>
          <w:sz w:val="32"/>
          <w:szCs w:val="28"/>
          <w:highlight w:val="none"/>
        </w:rPr>
        <w:t>、“双报到”党员等为主</w:t>
      </w:r>
      <w:r>
        <w:rPr>
          <w:rFonts w:hint="eastAsia" w:ascii="Times New Roman" w:hAnsi="Times New Roman" w:eastAsia="仿宋_GB2312" w:cs="Times New Roman"/>
          <w:bCs/>
          <w:color w:val="000000"/>
          <w:sz w:val="32"/>
          <w:szCs w:val="28"/>
          <w:highlight w:val="none"/>
          <w:lang w:eastAsia="zh-CN"/>
        </w:rPr>
        <w:t>，广泛吸纳外卖、快递、物业等领域人员，</w:t>
      </w:r>
      <w:r>
        <w:rPr>
          <w:rFonts w:hint="eastAsia" w:ascii="Times New Roman" w:hAnsi="Times New Roman" w:eastAsia="仿宋_GB2312" w:cs="Times New Roman"/>
          <w:bCs/>
          <w:color w:val="000000"/>
          <w:sz w:val="32"/>
          <w:szCs w:val="28"/>
          <w:highlight w:val="none"/>
        </w:rPr>
        <w:t>提升先期处置能力。严格落实应急值守工作管理规范。建强街乡应急志愿服务队伍，将其纳入重大突发事件应急管理体系，规范各类应急志愿服务组织，打造应急志愿服务品牌。提升应急联动和实战能力，充分发挥消防救援队伍主力军作用，健全与基层应急救援力量联训联演联战机制，加强区级专业应急队伍和街乡半专业应急队伍实战化训练体系建设，坚持实战导向编制训练计划，探索建立联勤联动机制，提高基层抢险救援能力。开展韧性社区试点</w:t>
      </w:r>
      <w:r>
        <w:rPr>
          <w:rFonts w:hint="eastAsia" w:ascii="Times New Roman" w:hAnsi="Times New Roman" w:eastAsia="仿宋_GB2312" w:cs="Times New Roman"/>
          <w:bCs/>
          <w:color w:val="000000"/>
          <w:sz w:val="32"/>
          <w:szCs w:val="28"/>
          <w:highlight w:val="none"/>
          <w:lang w:val="en-US" w:eastAsia="zh-CN"/>
        </w:rPr>
        <w:t>建设</w:t>
      </w:r>
      <w:r>
        <w:rPr>
          <w:rFonts w:hint="eastAsia" w:ascii="Times New Roman" w:hAnsi="Times New Roman" w:eastAsia="仿宋_GB2312" w:cs="Times New Roman"/>
          <w:bCs/>
          <w:color w:val="000000"/>
          <w:sz w:val="32"/>
          <w:szCs w:val="28"/>
          <w:highlight w:val="none"/>
        </w:rPr>
        <w:t>，在双井、望京等国际化社区</w:t>
      </w:r>
      <w:r>
        <w:rPr>
          <w:rFonts w:hint="eastAsia" w:ascii="Times New Roman" w:hAnsi="Times New Roman" w:eastAsia="仿宋_GB2312" w:cs="Times New Roman"/>
          <w:bCs/>
          <w:color w:val="000000"/>
          <w:sz w:val="32"/>
          <w:szCs w:val="28"/>
          <w:highlight w:val="none"/>
          <w:lang w:val="en-US" w:eastAsia="zh-CN"/>
        </w:rPr>
        <w:t>打造</w:t>
      </w:r>
      <w:r>
        <w:rPr>
          <w:rFonts w:hint="eastAsia" w:ascii="Times New Roman" w:hAnsi="Times New Roman" w:eastAsia="仿宋_GB2312" w:cs="Times New Roman"/>
          <w:bCs/>
          <w:color w:val="000000"/>
          <w:sz w:val="32"/>
          <w:szCs w:val="28"/>
          <w:highlight w:val="none"/>
        </w:rPr>
        <w:t>“韧性社区”示范点</w:t>
      </w:r>
      <w:r>
        <w:rPr>
          <w:rFonts w:hint="eastAsia" w:ascii="Times New Roman" w:hAnsi="Times New Roman" w:eastAsia="仿宋_GB2312" w:cs="Times New Roman"/>
          <w:bCs/>
          <w:color w:val="000000"/>
          <w:sz w:val="32"/>
          <w:szCs w:val="28"/>
          <w:highlight w:val="none"/>
          <w:lang w:eastAsia="zh-CN"/>
        </w:rPr>
        <w:t>，</w:t>
      </w:r>
      <w:r>
        <w:rPr>
          <w:rFonts w:hint="eastAsia" w:ascii="Times New Roman" w:hAnsi="Times New Roman" w:eastAsia="仿宋_GB2312" w:cs="Times New Roman"/>
          <w:bCs/>
          <w:color w:val="000000"/>
          <w:sz w:val="32"/>
          <w:szCs w:val="28"/>
          <w:highlight w:val="none"/>
        </w:rPr>
        <w:t>集成应急避难、医疗救护等功能，探索社区级应急空间建设模式，增强基层防灾减灾</w:t>
      </w:r>
      <w:r>
        <w:rPr>
          <w:rFonts w:hint="eastAsia" w:ascii="Times New Roman" w:hAnsi="Times New Roman" w:eastAsia="仿宋_GB2312" w:cs="Times New Roman"/>
          <w:bCs/>
          <w:color w:val="000000"/>
          <w:sz w:val="32"/>
          <w:szCs w:val="28"/>
          <w:highlight w:val="none"/>
          <w:lang w:val="en-US" w:eastAsia="zh-CN"/>
        </w:rPr>
        <w:t>救灾</w:t>
      </w:r>
      <w:r>
        <w:rPr>
          <w:rFonts w:hint="eastAsia" w:ascii="Times New Roman" w:hAnsi="Times New Roman" w:eastAsia="仿宋_GB2312" w:cs="Times New Roman"/>
          <w:bCs/>
          <w:color w:val="000000"/>
          <w:sz w:val="32"/>
          <w:szCs w:val="28"/>
          <w:highlight w:val="none"/>
        </w:rPr>
        <w:t>能力。</w:t>
      </w:r>
    </w:p>
    <w:p w14:paraId="2E0045B2">
      <w:pPr>
        <w:adjustRightInd w:val="0"/>
        <w:snapToGrid w:val="0"/>
        <w:spacing w:line="560" w:lineRule="exact"/>
        <w:ind w:firstLine="643" w:firstLineChars="200"/>
        <w:jc w:val="left"/>
        <w:outlineLvl w:val="2"/>
        <w:rPr>
          <w:rFonts w:ascii="Times New Roman" w:hAnsi="Times New Roman" w:eastAsia="仿宋_GB2312" w:cs="Times New Roman"/>
          <w:b/>
          <w:color w:val="000000"/>
          <w:sz w:val="32"/>
          <w:szCs w:val="20"/>
          <w:highlight w:val="none"/>
        </w:rPr>
      </w:pPr>
      <w:r>
        <w:rPr>
          <w:rFonts w:hint="eastAsia" w:ascii="Times New Roman" w:hAnsi="Times New Roman" w:eastAsia="仿宋_GB2312" w:cs="Times New Roman"/>
          <w:b/>
          <w:color w:val="000000"/>
          <w:sz w:val="32"/>
          <w:szCs w:val="20"/>
          <w:highlight w:val="none"/>
          <w:lang w:val="en-US" w:eastAsia="zh-CN"/>
        </w:rPr>
        <w:t>4</w:t>
      </w:r>
      <w:r>
        <w:rPr>
          <w:rFonts w:hint="eastAsia" w:ascii="Times New Roman" w:hAnsi="Times New Roman" w:eastAsia="仿宋_GB2312" w:cs="Times New Roman"/>
          <w:b/>
          <w:color w:val="000000"/>
          <w:sz w:val="32"/>
          <w:szCs w:val="20"/>
          <w:highlight w:val="none"/>
        </w:rPr>
        <w:t>.完善</w:t>
      </w:r>
      <w:r>
        <w:rPr>
          <w:rFonts w:ascii="Times New Roman" w:hAnsi="Times New Roman" w:eastAsia="仿宋_GB2312" w:cs="Times New Roman"/>
          <w:b/>
          <w:color w:val="000000"/>
          <w:sz w:val="32"/>
          <w:szCs w:val="20"/>
          <w:highlight w:val="none"/>
        </w:rPr>
        <w:t>应急宣教培训体系</w:t>
      </w:r>
    </w:p>
    <w:p w14:paraId="0BAC8FF8">
      <w:pPr>
        <w:adjustRightInd w:val="0"/>
        <w:snapToGrid w:val="0"/>
        <w:spacing w:line="560" w:lineRule="exact"/>
        <w:ind w:firstLine="640" w:firstLineChars="200"/>
        <w:jc w:val="left"/>
        <w:rPr>
          <w:rFonts w:hint="eastAsia" w:ascii="Times New Roman" w:hAnsi="Times New Roman" w:eastAsia="仿宋_GB2312" w:cs="Times New Roman"/>
          <w:bCs/>
          <w:color w:val="000000"/>
          <w:sz w:val="32"/>
          <w:szCs w:val="28"/>
          <w:highlight w:val="none"/>
        </w:rPr>
      </w:pPr>
      <w:r>
        <w:rPr>
          <w:rFonts w:hint="eastAsia" w:ascii="Times New Roman" w:hAnsi="Times New Roman" w:eastAsia="仿宋_GB2312" w:cs="Times New Roman"/>
          <w:bCs/>
          <w:color w:val="000000"/>
          <w:sz w:val="32"/>
          <w:szCs w:val="28"/>
          <w:highlight w:val="none"/>
        </w:rPr>
        <w:t>加强应急宣教培训，统筹相关培训安排。强化全民安全素质宣教培训，结合防灾减灾日、安全生产月、消防宣传月等节点，充分发挥朝阳公共安全馆等科普阵地作用，全面推进安全宣传进企业、进农村、进社区、进学校、进家庭，重点针对老人、儿童等不同群体特点，提高安全教育吸引力，培育“人人讲安全、个个会应急”的安全文化。建立健全应急科普联动协调机制，推动建立公众科普宣教媒体绿色通道，建设一批具有区域特色的安全应急科普场馆，开发针对不同社会群体的宣教产品，提升基于互联网的科普宣教培训能力。加强应急宣传队伍建设，常态化组织应急新闻宣传培训和实战竞赛，做好突发事件舆论引导，及时发布权威信息。</w:t>
      </w:r>
    </w:p>
    <w:p w14:paraId="1D2D8E17">
      <w:pPr>
        <w:spacing w:line="560" w:lineRule="exact"/>
        <w:ind w:firstLine="420" w:firstLineChars="200"/>
        <w:jc w:val="left"/>
        <w:rPr>
          <w:rFonts w:hint="eastAsia" w:asciiTheme="minorHAnsi" w:hAnsiTheme="minorHAnsi" w:eastAsiaTheme="minorEastAsia" w:cstheme="minorBidi"/>
          <w:kern w:val="2"/>
          <w:sz w:val="21"/>
          <w:szCs w:val="24"/>
          <w:highlight w:val="none"/>
          <w:lang w:val="en-US" w:eastAsia="zh-CN" w:bidi="ar-SA"/>
        </w:rPr>
      </w:pPr>
    </w:p>
    <w:sectPr>
      <w:footerReference r:id="rId3" w:type="default"/>
      <w:pgSz w:w="11906" w:h="16838"/>
      <w:pgMar w:top="1417" w:right="1474" w:bottom="141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792FE-2676-4357-9A47-F0E6F2127F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A89EBDB-F355-4A8F-A4BB-6784053368AB}"/>
  </w:font>
  <w:font w:name="楷体_GB2312">
    <w:panose1 w:val="02010609030101010101"/>
    <w:charset w:val="86"/>
    <w:family w:val="modern"/>
    <w:pitch w:val="default"/>
    <w:sig w:usb0="00000001" w:usb1="080E0000" w:usb2="00000000" w:usb3="00000000" w:csb0="00040000" w:csb1="00000000"/>
    <w:embedRegular r:id="rId3" w:fontKey="{E156EBF1-B1C9-4F28-9EAA-CFAB5A8AA54B}"/>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F9410067-EC8B-41C0-B2B8-26806CA715F2}"/>
  </w:font>
  <w:font w:name="仿宋_GB2312">
    <w:panose1 w:val="02010609030101010101"/>
    <w:charset w:val="86"/>
    <w:family w:val="modern"/>
    <w:pitch w:val="default"/>
    <w:sig w:usb0="00000001" w:usb1="080E0000" w:usb2="00000000" w:usb3="00000000" w:csb0="00040000" w:csb1="00000000"/>
    <w:embedRegular r:id="rId5" w:fontKey="{41467F6A-B1C0-4E3F-AE2E-CDD061691D2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5F4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5644C">
                          <w:pPr>
                            <w:pStyle w:val="11"/>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05644C">
                    <w:pPr>
                      <w:pStyle w:val="11"/>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D7"/>
    <w:rsid w:val="00056D5F"/>
    <w:rsid w:val="000959CB"/>
    <w:rsid w:val="000E7392"/>
    <w:rsid w:val="00105CA7"/>
    <w:rsid w:val="00166607"/>
    <w:rsid w:val="00170418"/>
    <w:rsid w:val="00197A7A"/>
    <w:rsid w:val="002D6721"/>
    <w:rsid w:val="00356B00"/>
    <w:rsid w:val="00361FD1"/>
    <w:rsid w:val="003778CE"/>
    <w:rsid w:val="003E2FC6"/>
    <w:rsid w:val="003E6F2B"/>
    <w:rsid w:val="0042709F"/>
    <w:rsid w:val="00471B22"/>
    <w:rsid w:val="00473031"/>
    <w:rsid w:val="004A2D63"/>
    <w:rsid w:val="006219CA"/>
    <w:rsid w:val="00622351"/>
    <w:rsid w:val="00637052"/>
    <w:rsid w:val="00647957"/>
    <w:rsid w:val="00686B15"/>
    <w:rsid w:val="00732444"/>
    <w:rsid w:val="007B5457"/>
    <w:rsid w:val="007F0909"/>
    <w:rsid w:val="00883906"/>
    <w:rsid w:val="008A2484"/>
    <w:rsid w:val="008C0FB1"/>
    <w:rsid w:val="00901374"/>
    <w:rsid w:val="00902C2A"/>
    <w:rsid w:val="00934C67"/>
    <w:rsid w:val="009A4829"/>
    <w:rsid w:val="00A043DE"/>
    <w:rsid w:val="00A97EBA"/>
    <w:rsid w:val="00AB1874"/>
    <w:rsid w:val="00AE20D7"/>
    <w:rsid w:val="00B41FA9"/>
    <w:rsid w:val="00B46918"/>
    <w:rsid w:val="00B61396"/>
    <w:rsid w:val="00BB7E02"/>
    <w:rsid w:val="00BC751D"/>
    <w:rsid w:val="00C35195"/>
    <w:rsid w:val="00C93251"/>
    <w:rsid w:val="00D27E91"/>
    <w:rsid w:val="00DD72CE"/>
    <w:rsid w:val="00E01AFB"/>
    <w:rsid w:val="00E06592"/>
    <w:rsid w:val="00E56417"/>
    <w:rsid w:val="00F028FF"/>
    <w:rsid w:val="00F140FE"/>
    <w:rsid w:val="00FB524D"/>
    <w:rsid w:val="00FC15C1"/>
    <w:rsid w:val="00FD25C9"/>
    <w:rsid w:val="00FD2713"/>
    <w:rsid w:val="00FF7E71"/>
    <w:rsid w:val="01160408"/>
    <w:rsid w:val="0123584C"/>
    <w:rsid w:val="01877B89"/>
    <w:rsid w:val="01C07D5C"/>
    <w:rsid w:val="01E74ACC"/>
    <w:rsid w:val="01EE5E5A"/>
    <w:rsid w:val="01EF43BB"/>
    <w:rsid w:val="023F0464"/>
    <w:rsid w:val="02706DD3"/>
    <w:rsid w:val="02B35CE9"/>
    <w:rsid w:val="03451AAA"/>
    <w:rsid w:val="035606A5"/>
    <w:rsid w:val="036119A3"/>
    <w:rsid w:val="038D51FF"/>
    <w:rsid w:val="03AA7B5F"/>
    <w:rsid w:val="03EF18D8"/>
    <w:rsid w:val="04275653"/>
    <w:rsid w:val="044828BB"/>
    <w:rsid w:val="04783406"/>
    <w:rsid w:val="04821B5E"/>
    <w:rsid w:val="05121E5F"/>
    <w:rsid w:val="05123C0E"/>
    <w:rsid w:val="053F69CD"/>
    <w:rsid w:val="054F595E"/>
    <w:rsid w:val="05855D06"/>
    <w:rsid w:val="0596483F"/>
    <w:rsid w:val="05A056BD"/>
    <w:rsid w:val="05C51278"/>
    <w:rsid w:val="05FA6BB2"/>
    <w:rsid w:val="060914B4"/>
    <w:rsid w:val="06207460"/>
    <w:rsid w:val="065B5A88"/>
    <w:rsid w:val="066A1827"/>
    <w:rsid w:val="067508F8"/>
    <w:rsid w:val="06CB0397"/>
    <w:rsid w:val="06F7130D"/>
    <w:rsid w:val="070659F4"/>
    <w:rsid w:val="070B4E75"/>
    <w:rsid w:val="07127218"/>
    <w:rsid w:val="071B457E"/>
    <w:rsid w:val="073267E9"/>
    <w:rsid w:val="081E6D6D"/>
    <w:rsid w:val="081F77E9"/>
    <w:rsid w:val="089B216C"/>
    <w:rsid w:val="08A367A4"/>
    <w:rsid w:val="08E21B49"/>
    <w:rsid w:val="08FD4BD5"/>
    <w:rsid w:val="094B0928"/>
    <w:rsid w:val="0979531F"/>
    <w:rsid w:val="09B41D59"/>
    <w:rsid w:val="09DB3168"/>
    <w:rsid w:val="0A2A7C4B"/>
    <w:rsid w:val="0A6B5105"/>
    <w:rsid w:val="0A8C3026"/>
    <w:rsid w:val="0AAB0D8C"/>
    <w:rsid w:val="0AB3379D"/>
    <w:rsid w:val="0BE73B95"/>
    <w:rsid w:val="0C013F89"/>
    <w:rsid w:val="0C256B59"/>
    <w:rsid w:val="0C45559A"/>
    <w:rsid w:val="0C6B7B04"/>
    <w:rsid w:val="0CB67574"/>
    <w:rsid w:val="0CF5087F"/>
    <w:rsid w:val="0D307327"/>
    <w:rsid w:val="0D350775"/>
    <w:rsid w:val="0D3A1F53"/>
    <w:rsid w:val="0DD405FA"/>
    <w:rsid w:val="0DD53C11"/>
    <w:rsid w:val="0F3438DD"/>
    <w:rsid w:val="0F767699"/>
    <w:rsid w:val="0F8E717E"/>
    <w:rsid w:val="0F9D1272"/>
    <w:rsid w:val="0FBF555C"/>
    <w:rsid w:val="104650B3"/>
    <w:rsid w:val="104B5196"/>
    <w:rsid w:val="108B33F0"/>
    <w:rsid w:val="10D33DA9"/>
    <w:rsid w:val="11361604"/>
    <w:rsid w:val="113E5D8A"/>
    <w:rsid w:val="11633299"/>
    <w:rsid w:val="11A46BC2"/>
    <w:rsid w:val="122D02D9"/>
    <w:rsid w:val="12511791"/>
    <w:rsid w:val="12555A81"/>
    <w:rsid w:val="12851EC3"/>
    <w:rsid w:val="12C51AE0"/>
    <w:rsid w:val="12C86253"/>
    <w:rsid w:val="13B64561"/>
    <w:rsid w:val="13EB21F9"/>
    <w:rsid w:val="140727F9"/>
    <w:rsid w:val="1444190A"/>
    <w:rsid w:val="144E2788"/>
    <w:rsid w:val="145F2F8D"/>
    <w:rsid w:val="14D110C6"/>
    <w:rsid w:val="14E43365"/>
    <w:rsid w:val="14F710C3"/>
    <w:rsid w:val="151F20F9"/>
    <w:rsid w:val="154134E3"/>
    <w:rsid w:val="155142DE"/>
    <w:rsid w:val="15916F81"/>
    <w:rsid w:val="1647748F"/>
    <w:rsid w:val="164E6A70"/>
    <w:rsid w:val="16A97565"/>
    <w:rsid w:val="16F7745D"/>
    <w:rsid w:val="1705535A"/>
    <w:rsid w:val="173E0892"/>
    <w:rsid w:val="175F3D3C"/>
    <w:rsid w:val="17934158"/>
    <w:rsid w:val="17C20B86"/>
    <w:rsid w:val="181A2543"/>
    <w:rsid w:val="18925671"/>
    <w:rsid w:val="1926118B"/>
    <w:rsid w:val="19E27BFB"/>
    <w:rsid w:val="1A1E278E"/>
    <w:rsid w:val="1A1F4FD6"/>
    <w:rsid w:val="1A2F6BB8"/>
    <w:rsid w:val="1A840B87"/>
    <w:rsid w:val="1A8B1FA6"/>
    <w:rsid w:val="1AF92D73"/>
    <w:rsid w:val="1B9A64C6"/>
    <w:rsid w:val="1BC53233"/>
    <w:rsid w:val="1C60574F"/>
    <w:rsid w:val="1CAA5C0C"/>
    <w:rsid w:val="1CAC629E"/>
    <w:rsid w:val="1D061E52"/>
    <w:rsid w:val="1D3228E4"/>
    <w:rsid w:val="1D5A2FA9"/>
    <w:rsid w:val="1D5B56E6"/>
    <w:rsid w:val="1D8F0099"/>
    <w:rsid w:val="1D912F21"/>
    <w:rsid w:val="1DB56EB0"/>
    <w:rsid w:val="1DCD471E"/>
    <w:rsid w:val="1E274043"/>
    <w:rsid w:val="1E567AD8"/>
    <w:rsid w:val="1ED57D2E"/>
    <w:rsid w:val="1EDE3A6B"/>
    <w:rsid w:val="1EF60F8E"/>
    <w:rsid w:val="1F4E7AE0"/>
    <w:rsid w:val="1F5374CA"/>
    <w:rsid w:val="1F5570C1"/>
    <w:rsid w:val="1FE121E6"/>
    <w:rsid w:val="20364116"/>
    <w:rsid w:val="204F3B10"/>
    <w:rsid w:val="208F6602"/>
    <w:rsid w:val="20992FDD"/>
    <w:rsid w:val="20A26336"/>
    <w:rsid w:val="20AB1ECB"/>
    <w:rsid w:val="20BA367F"/>
    <w:rsid w:val="20C7635E"/>
    <w:rsid w:val="2129610F"/>
    <w:rsid w:val="21C95C34"/>
    <w:rsid w:val="21DC5877"/>
    <w:rsid w:val="21EA52B6"/>
    <w:rsid w:val="222462F5"/>
    <w:rsid w:val="23272CFE"/>
    <w:rsid w:val="23940D62"/>
    <w:rsid w:val="23AD694B"/>
    <w:rsid w:val="23B70F45"/>
    <w:rsid w:val="23D12B21"/>
    <w:rsid w:val="24200ECE"/>
    <w:rsid w:val="2471674B"/>
    <w:rsid w:val="24985702"/>
    <w:rsid w:val="24D000C3"/>
    <w:rsid w:val="251D41DD"/>
    <w:rsid w:val="25924EC3"/>
    <w:rsid w:val="262B0B7B"/>
    <w:rsid w:val="262D500C"/>
    <w:rsid w:val="263537A8"/>
    <w:rsid w:val="265A320F"/>
    <w:rsid w:val="2662481A"/>
    <w:rsid w:val="26BD7E16"/>
    <w:rsid w:val="26C77082"/>
    <w:rsid w:val="26D3600A"/>
    <w:rsid w:val="26EE05EC"/>
    <w:rsid w:val="27007912"/>
    <w:rsid w:val="275D777F"/>
    <w:rsid w:val="28E15B6E"/>
    <w:rsid w:val="28E76FDC"/>
    <w:rsid w:val="28F52C4A"/>
    <w:rsid w:val="29032C29"/>
    <w:rsid w:val="2940493E"/>
    <w:rsid w:val="29F82743"/>
    <w:rsid w:val="2A1862C4"/>
    <w:rsid w:val="2A3518AB"/>
    <w:rsid w:val="2A677CA8"/>
    <w:rsid w:val="2AC62728"/>
    <w:rsid w:val="2B03342D"/>
    <w:rsid w:val="2B0400B6"/>
    <w:rsid w:val="2B2411F7"/>
    <w:rsid w:val="2B411285"/>
    <w:rsid w:val="2B457FE9"/>
    <w:rsid w:val="2B8054C5"/>
    <w:rsid w:val="2BAC62BA"/>
    <w:rsid w:val="2BE53BC7"/>
    <w:rsid w:val="2BFB7C5B"/>
    <w:rsid w:val="2C0E0D23"/>
    <w:rsid w:val="2C260F85"/>
    <w:rsid w:val="2C620381"/>
    <w:rsid w:val="2D144117"/>
    <w:rsid w:val="2D447D98"/>
    <w:rsid w:val="2DC773DC"/>
    <w:rsid w:val="2E2C723F"/>
    <w:rsid w:val="2E564462"/>
    <w:rsid w:val="2E9D6DCF"/>
    <w:rsid w:val="2EAE6729"/>
    <w:rsid w:val="2EFF4953"/>
    <w:rsid w:val="2F0F103A"/>
    <w:rsid w:val="2F4C5AD9"/>
    <w:rsid w:val="2FD656B4"/>
    <w:rsid w:val="2FE37DD1"/>
    <w:rsid w:val="301023BC"/>
    <w:rsid w:val="304765B2"/>
    <w:rsid w:val="305104CE"/>
    <w:rsid w:val="305F7D9F"/>
    <w:rsid w:val="3082464B"/>
    <w:rsid w:val="30B579BF"/>
    <w:rsid w:val="30BB2AFC"/>
    <w:rsid w:val="312718DE"/>
    <w:rsid w:val="319620D2"/>
    <w:rsid w:val="31E32566"/>
    <w:rsid w:val="3248449E"/>
    <w:rsid w:val="3279084E"/>
    <w:rsid w:val="32AF660F"/>
    <w:rsid w:val="32BF106C"/>
    <w:rsid w:val="32E40DC1"/>
    <w:rsid w:val="33010C9A"/>
    <w:rsid w:val="331035D3"/>
    <w:rsid w:val="33D60378"/>
    <w:rsid w:val="34A54214"/>
    <w:rsid w:val="34B55B38"/>
    <w:rsid w:val="34BB2DCB"/>
    <w:rsid w:val="352B5CB5"/>
    <w:rsid w:val="353A78DB"/>
    <w:rsid w:val="354C7397"/>
    <w:rsid w:val="35613C72"/>
    <w:rsid w:val="356745E5"/>
    <w:rsid w:val="35BA60CE"/>
    <w:rsid w:val="35C4548A"/>
    <w:rsid w:val="35DF0F0B"/>
    <w:rsid w:val="35E22510"/>
    <w:rsid w:val="3619753B"/>
    <w:rsid w:val="36513CE6"/>
    <w:rsid w:val="37064381"/>
    <w:rsid w:val="373777C2"/>
    <w:rsid w:val="37A7595E"/>
    <w:rsid w:val="37A97B24"/>
    <w:rsid w:val="37DF17C6"/>
    <w:rsid w:val="37E64902"/>
    <w:rsid w:val="37E8067A"/>
    <w:rsid w:val="38042FDA"/>
    <w:rsid w:val="382D0783"/>
    <w:rsid w:val="382F62A9"/>
    <w:rsid w:val="384C2775"/>
    <w:rsid w:val="38547ABE"/>
    <w:rsid w:val="386C41A1"/>
    <w:rsid w:val="38B14F10"/>
    <w:rsid w:val="3951224F"/>
    <w:rsid w:val="39A8522D"/>
    <w:rsid w:val="3A0345F4"/>
    <w:rsid w:val="3AEC63AA"/>
    <w:rsid w:val="3BA66882"/>
    <w:rsid w:val="3BC92571"/>
    <w:rsid w:val="3C885F88"/>
    <w:rsid w:val="3D204412"/>
    <w:rsid w:val="3D707720"/>
    <w:rsid w:val="3DAB63D2"/>
    <w:rsid w:val="3DD21746"/>
    <w:rsid w:val="3E3F5320"/>
    <w:rsid w:val="3E6B5753"/>
    <w:rsid w:val="3E6D3687"/>
    <w:rsid w:val="3E970704"/>
    <w:rsid w:val="3E9A2D10"/>
    <w:rsid w:val="3EBF11A6"/>
    <w:rsid w:val="3F7153F9"/>
    <w:rsid w:val="3FAB3396"/>
    <w:rsid w:val="3FC03C8B"/>
    <w:rsid w:val="3FC4377B"/>
    <w:rsid w:val="3FC714BD"/>
    <w:rsid w:val="3FD37E62"/>
    <w:rsid w:val="4033495A"/>
    <w:rsid w:val="40BA2902"/>
    <w:rsid w:val="415F743E"/>
    <w:rsid w:val="41635215"/>
    <w:rsid w:val="41AA571A"/>
    <w:rsid w:val="42342208"/>
    <w:rsid w:val="42372910"/>
    <w:rsid w:val="42AE2959"/>
    <w:rsid w:val="42CA1781"/>
    <w:rsid w:val="43183AB3"/>
    <w:rsid w:val="43A1053B"/>
    <w:rsid w:val="4416656F"/>
    <w:rsid w:val="441B0DDD"/>
    <w:rsid w:val="44586B88"/>
    <w:rsid w:val="447339C1"/>
    <w:rsid w:val="44ED5522"/>
    <w:rsid w:val="44EE129A"/>
    <w:rsid w:val="45244CBC"/>
    <w:rsid w:val="452A1956"/>
    <w:rsid w:val="45392515"/>
    <w:rsid w:val="45863281"/>
    <w:rsid w:val="4595778D"/>
    <w:rsid w:val="4642038C"/>
    <w:rsid w:val="465C1AA2"/>
    <w:rsid w:val="468C3579"/>
    <w:rsid w:val="46B63049"/>
    <w:rsid w:val="46EF4B54"/>
    <w:rsid w:val="475E44B5"/>
    <w:rsid w:val="47DA6A4A"/>
    <w:rsid w:val="47F170D7"/>
    <w:rsid w:val="484864B1"/>
    <w:rsid w:val="489B5295"/>
    <w:rsid w:val="48DA400F"/>
    <w:rsid w:val="48FB5161"/>
    <w:rsid w:val="490A4E1E"/>
    <w:rsid w:val="497D61A5"/>
    <w:rsid w:val="498836BE"/>
    <w:rsid w:val="49BF3909"/>
    <w:rsid w:val="4A0444C5"/>
    <w:rsid w:val="4A1C41B3"/>
    <w:rsid w:val="4A282B58"/>
    <w:rsid w:val="4A4831FA"/>
    <w:rsid w:val="4AEF3D32"/>
    <w:rsid w:val="4AFA44F5"/>
    <w:rsid w:val="4AFF3E7B"/>
    <w:rsid w:val="4B6F3205"/>
    <w:rsid w:val="4BB70638"/>
    <w:rsid w:val="4BD7375D"/>
    <w:rsid w:val="4BE64A79"/>
    <w:rsid w:val="4C080E93"/>
    <w:rsid w:val="4C746529"/>
    <w:rsid w:val="4C83676C"/>
    <w:rsid w:val="4D341814"/>
    <w:rsid w:val="4D5817FD"/>
    <w:rsid w:val="4D6D6092"/>
    <w:rsid w:val="4D7E3E1C"/>
    <w:rsid w:val="4DEA4CF4"/>
    <w:rsid w:val="4E451F2B"/>
    <w:rsid w:val="4E4F5175"/>
    <w:rsid w:val="4E5A3AE9"/>
    <w:rsid w:val="4E676345"/>
    <w:rsid w:val="4EB946C7"/>
    <w:rsid w:val="4F015240"/>
    <w:rsid w:val="4F201AB9"/>
    <w:rsid w:val="4F3062A5"/>
    <w:rsid w:val="4F31425D"/>
    <w:rsid w:val="4F7A3E56"/>
    <w:rsid w:val="4F7A7E83"/>
    <w:rsid w:val="4FA64C4B"/>
    <w:rsid w:val="502B33A2"/>
    <w:rsid w:val="503C735D"/>
    <w:rsid w:val="506822A4"/>
    <w:rsid w:val="50A20D78"/>
    <w:rsid w:val="51065647"/>
    <w:rsid w:val="5108391E"/>
    <w:rsid w:val="51195436"/>
    <w:rsid w:val="511F7076"/>
    <w:rsid w:val="51283AF8"/>
    <w:rsid w:val="516A7ACC"/>
    <w:rsid w:val="517A638F"/>
    <w:rsid w:val="5218341D"/>
    <w:rsid w:val="52317228"/>
    <w:rsid w:val="5245699D"/>
    <w:rsid w:val="5253098E"/>
    <w:rsid w:val="527B192B"/>
    <w:rsid w:val="528154FB"/>
    <w:rsid w:val="529B424D"/>
    <w:rsid w:val="52C06024"/>
    <w:rsid w:val="52D41FF2"/>
    <w:rsid w:val="52F061DD"/>
    <w:rsid w:val="52F43F1F"/>
    <w:rsid w:val="53310CD0"/>
    <w:rsid w:val="533D6114"/>
    <w:rsid w:val="535B753F"/>
    <w:rsid w:val="53B85768"/>
    <w:rsid w:val="53DC3B3C"/>
    <w:rsid w:val="53FE57C6"/>
    <w:rsid w:val="5438608E"/>
    <w:rsid w:val="54660E4D"/>
    <w:rsid w:val="546C2887"/>
    <w:rsid w:val="54B64E0D"/>
    <w:rsid w:val="54C87750"/>
    <w:rsid w:val="556A0EE1"/>
    <w:rsid w:val="55CE2D4E"/>
    <w:rsid w:val="55DB0405"/>
    <w:rsid w:val="55E0078B"/>
    <w:rsid w:val="55FB7B9D"/>
    <w:rsid w:val="56220DA3"/>
    <w:rsid w:val="56221A76"/>
    <w:rsid w:val="564E25D3"/>
    <w:rsid w:val="565A22EB"/>
    <w:rsid w:val="56B639B2"/>
    <w:rsid w:val="57C00874"/>
    <w:rsid w:val="57D305A7"/>
    <w:rsid w:val="57E75E01"/>
    <w:rsid w:val="57EE11DD"/>
    <w:rsid w:val="580469B3"/>
    <w:rsid w:val="58207565"/>
    <w:rsid w:val="588418A2"/>
    <w:rsid w:val="58D56831"/>
    <w:rsid w:val="58DC3643"/>
    <w:rsid w:val="58DD228D"/>
    <w:rsid w:val="58F06F37"/>
    <w:rsid w:val="590062C7"/>
    <w:rsid w:val="59A354CC"/>
    <w:rsid w:val="59AD4E28"/>
    <w:rsid w:val="59C7413C"/>
    <w:rsid w:val="5A6920B4"/>
    <w:rsid w:val="5A7140A7"/>
    <w:rsid w:val="5C221AFD"/>
    <w:rsid w:val="5C2308DE"/>
    <w:rsid w:val="5C412E25"/>
    <w:rsid w:val="5C5E240A"/>
    <w:rsid w:val="5C8A5879"/>
    <w:rsid w:val="5CBC7B63"/>
    <w:rsid w:val="5CC04E72"/>
    <w:rsid w:val="5CC42BB4"/>
    <w:rsid w:val="5CF60894"/>
    <w:rsid w:val="5D137698"/>
    <w:rsid w:val="5DA00A10"/>
    <w:rsid w:val="5DAA3B58"/>
    <w:rsid w:val="5DD961EC"/>
    <w:rsid w:val="5DEB4D77"/>
    <w:rsid w:val="5E341674"/>
    <w:rsid w:val="5E4C4C10"/>
    <w:rsid w:val="5E940365"/>
    <w:rsid w:val="5F3B0DEA"/>
    <w:rsid w:val="600D0496"/>
    <w:rsid w:val="606D70BF"/>
    <w:rsid w:val="60852906"/>
    <w:rsid w:val="60911000"/>
    <w:rsid w:val="60B726C8"/>
    <w:rsid w:val="60EB4BB4"/>
    <w:rsid w:val="611C0988"/>
    <w:rsid w:val="611D6D37"/>
    <w:rsid w:val="61220B30"/>
    <w:rsid w:val="6174522D"/>
    <w:rsid w:val="617526CF"/>
    <w:rsid w:val="61841E25"/>
    <w:rsid w:val="61F82C39"/>
    <w:rsid w:val="626B0515"/>
    <w:rsid w:val="62710D8F"/>
    <w:rsid w:val="62816AA5"/>
    <w:rsid w:val="62B40FD5"/>
    <w:rsid w:val="62D6719E"/>
    <w:rsid w:val="62E331E7"/>
    <w:rsid w:val="6353259C"/>
    <w:rsid w:val="6368350B"/>
    <w:rsid w:val="637341FF"/>
    <w:rsid w:val="63FA18E4"/>
    <w:rsid w:val="646C590B"/>
    <w:rsid w:val="648A0240"/>
    <w:rsid w:val="64C51A97"/>
    <w:rsid w:val="64F7741A"/>
    <w:rsid w:val="650E6430"/>
    <w:rsid w:val="6511270F"/>
    <w:rsid w:val="653A1A83"/>
    <w:rsid w:val="654C4DC2"/>
    <w:rsid w:val="6558033E"/>
    <w:rsid w:val="65646F17"/>
    <w:rsid w:val="659F41BF"/>
    <w:rsid w:val="65B368D6"/>
    <w:rsid w:val="65F362B8"/>
    <w:rsid w:val="661F70AE"/>
    <w:rsid w:val="66320B8F"/>
    <w:rsid w:val="66471CD0"/>
    <w:rsid w:val="664E35FF"/>
    <w:rsid w:val="66576847"/>
    <w:rsid w:val="66A15098"/>
    <w:rsid w:val="66B47B91"/>
    <w:rsid w:val="66CA0DC7"/>
    <w:rsid w:val="67A47D96"/>
    <w:rsid w:val="67E160C5"/>
    <w:rsid w:val="68B43ADD"/>
    <w:rsid w:val="68C36416"/>
    <w:rsid w:val="694755C9"/>
    <w:rsid w:val="69A578CA"/>
    <w:rsid w:val="69E0011F"/>
    <w:rsid w:val="6A207A55"/>
    <w:rsid w:val="6A497EA3"/>
    <w:rsid w:val="6A5D11DA"/>
    <w:rsid w:val="6A9242F2"/>
    <w:rsid w:val="6A975464"/>
    <w:rsid w:val="6B054AC4"/>
    <w:rsid w:val="6B1010C6"/>
    <w:rsid w:val="6B261DD2"/>
    <w:rsid w:val="6B296B03"/>
    <w:rsid w:val="6B2F1B41"/>
    <w:rsid w:val="6B3929BF"/>
    <w:rsid w:val="6BFF7765"/>
    <w:rsid w:val="6C0E79A8"/>
    <w:rsid w:val="6C28360B"/>
    <w:rsid w:val="6C360CAD"/>
    <w:rsid w:val="6CB06CB1"/>
    <w:rsid w:val="6CB20CA7"/>
    <w:rsid w:val="6CCB1952"/>
    <w:rsid w:val="6CD75FEC"/>
    <w:rsid w:val="6CDE381E"/>
    <w:rsid w:val="6CF70FC1"/>
    <w:rsid w:val="6D5F5C93"/>
    <w:rsid w:val="6D6A3304"/>
    <w:rsid w:val="6D7221B9"/>
    <w:rsid w:val="6D7E4E85"/>
    <w:rsid w:val="6D8141AA"/>
    <w:rsid w:val="6E0F7A08"/>
    <w:rsid w:val="6E1E7C0B"/>
    <w:rsid w:val="6E2A416E"/>
    <w:rsid w:val="6E410900"/>
    <w:rsid w:val="6E533D98"/>
    <w:rsid w:val="6EDF5172"/>
    <w:rsid w:val="6EE36ECA"/>
    <w:rsid w:val="6F1277AF"/>
    <w:rsid w:val="6FDB4045"/>
    <w:rsid w:val="70036F13"/>
    <w:rsid w:val="703674CE"/>
    <w:rsid w:val="7098441D"/>
    <w:rsid w:val="709B234C"/>
    <w:rsid w:val="70D867D7"/>
    <w:rsid w:val="716F155B"/>
    <w:rsid w:val="71CD20B4"/>
    <w:rsid w:val="71F37CEB"/>
    <w:rsid w:val="71FD69D0"/>
    <w:rsid w:val="720D7917"/>
    <w:rsid w:val="721101F2"/>
    <w:rsid w:val="72224D05"/>
    <w:rsid w:val="727334FF"/>
    <w:rsid w:val="727A7B45"/>
    <w:rsid w:val="72A1438D"/>
    <w:rsid w:val="72C46191"/>
    <w:rsid w:val="7306587D"/>
    <w:rsid w:val="73122550"/>
    <w:rsid w:val="73202D8A"/>
    <w:rsid w:val="73A910D6"/>
    <w:rsid w:val="7406527E"/>
    <w:rsid w:val="74C96B62"/>
    <w:rsid w:val="74CC0400"/>
    <w:rsid w:val="74FA31C0"/>
    <w:rsid w:val="75175B20"/>
    <w:rsid w:val="7544268D"/>
    <w:rsid w:val="7583381D"/>
    <w:rsid w:val="759C6025"/>
    <w:rsid w:val="75BE243F"/>
    <w:rsid w:val="761400FE"/>
    <w:rsid w:val="7623146F"/>
    <w:rsid w:val="765D4412"/>
    <w:rsid w:val="769D69BF"/>
    <w:rsid w:val="76DB0BEA"/>
    <w:rsid w:val="76FB5AB5"/>
    <w:rsid w:val="774E12F5"/>
    <w:rsid w:val="777731E3"/>
    <w:rsid w:val="77BD2282"/>
    <w:rsid w:val="784F5146"/>
    <w:rsid w:val="78994A9D"/>
    <w:rsid w:val="7899546B"/>
    <w:rsid w:val="78A76BCB"/>
    <w:rsid w:val="78C11E16"/>
    <w:rsid w:val="78E77D85"/>
    <w:rsid w:val="78EF063E"/>
    <w:rsid w:val="799A6D1F"/>
    <w:rsid w:val="79D33FDF"/>
    <w:rsid w:val="79DF7C6D"/>
    <w:rsid w:val="79F65252"/>
    <w:rsid w:val="7A1940E8"/>
    <w:rsid w:val="7A1C5986"/>
    <w:rsid w:val="7A375C78"/>
    <w:rsid w:val="7A905C5B"/>
    <w:rsid w:val="7AB77409"/>
    <w:rsid w:val="7B187EFC"/>
    <w:rsid w:val="7B2A5E81"/>
    <w:rsid w:val="7B4C5B44"/>
    <w:rsid w:val="7B6374C1"/>
    <w:rsid w:val="7BF1074D"/>
    <w:rsid w:val="7C211BE0"/>
    <w:rsid w:val="7C464B2A"/>
    <w:rsid w:val="7C4C5404"/>
    <w:rsid w:val="7CAD0AEA"/>
    <w:rsid w:val="7CB579CC"/>
    <w:rsid w:val="7CE56503"/>
    <w:rsid w:val="7D541253"/>
    <w:rsid w:val="7D7013D2"/>
    <w:rsid w:val="7D851A94"/>
    <w:rsid w:val="7DB06117"/>
    <w:rsid w:val="7DB8164E"/>
    <w:rsid w:val="7DC641AE"/>
    <w:rsid w:val="7E5C27F5"/>
    <w:rsid w:val="7E875152"/>
    <w:rsid w:val="7E9D2DFB"/>
    <w:rsid w:val="7EB02430"/>
    <w:rsid w:val="7EDA2345"/>
    <w:rsid w:val="7F25708B"/>
    <w:rsid w:val="7F3C6183"/>
    <w:rsid w:val="7F414632"/>
    <w:rsid w:val="7F4F5EB6"/>
    <w:rsid w:val="7F71090C"/>
    <w:rsid w:val="7FAA57E2"/>
    <w:rsid w:val="7FED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line="580" w:lineRule="exact"/>
      <w:outlineLvl w:val="1"/>
    </w:pPr>
    <w:rPr>
      <w:rFonts w:ascii="Times New Roman" w:hAnsi="Times New Roman" w:eastAsia="楷体_GB2312"/>
      <w:b/>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仿宋"/>
      <w:sz w:val="32"/>
    </w:rPr>
  </w:style>
  <w:style w:type="paragraph" w:styleId="6">
    <w:name w:val="table of authorities"/>
    <w:basedOn w:val="1"/>
    <w:next w:val="1"/>
    <w:qFormat/>
    <w:uiPriority w:val="99"/>
    <w:pPr>
      <w:ind w:left="420" w:leftChars="200"/>
    </w:pPr>
    <w:rPr>
      <w:rFonts w:ascii="Times New Roman" w:hAnsi="Times New Roman" w:eastAsia="宋体" w:cs="Times New Roman"/>
      <w:szCs w:val="20"/>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rPr>
      <w:rFonts w:ascii="Calibri" w:hAnsi="Calibri" w:eastAsia="宋体" w:cs="宋体"/>
    </w:rPr>
  </w:style>
  <w:style w:type="paragraph" w:customStyle="1" w:styleId="9">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10">
    <w:name w:val="Balloon Text"/>
    <w:basedOn w:val="1"/>
    <w:link w:val="23"/>
    <w:qFormat/>
    <w:uiPriority w:val="0"/>
    <w:rPr>
      <w:sz w:val="18"/>
      <w:szCs w:val="18"/>
    </w:rPr>
  </w:style>
  <w:style w:type="paragraph" w:styleId="11">
    <w:name w:val="footer"/>
    <w:basedOn w:val="1"/>
    <w:next w:val="1"/>
    <w:unhideWhenUsed/>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Strong"/>
    <w:basedOn w:val="16"/>
    <w:qFormat/>
    <w:uiPriority w:val="0"/>
    <w:rPr>
      <w:b/>
    </w:rPr>
  </w:style>
  <w:style w:type="paragraph" w:customStyle="1" w:styleId="18">
    <w:name w:val="BodyText1I2"/>
    <w:basedOn w:val="19"/>
    <w:next w:val="21"/>
    <w:qFormat/>
    <w:uiPriority w:val="99"/>
    <w:pPr>
      <w:ind w:firstLine="420"/>
    </w:pPr>
  </w:style>
  <w:style w:type="paragraph" w:customStyle="1" w:styleId="19">
    <w:name w:val="BodyTextIndent"/>
    <w:basedOn w:val="1"/>
    <w:next w:val="20"/>
    <w:qFormat/>
    <w:uiPriority w:val="99"/>
    <w:pPr>
      <w:ind w:left="420" w:leftChars="200"/>
    </w:pPr>
  </w:style>
  <w:style w:type="paragraph" w:customStyle="1" w:styleId="20">
    <w:name w:val="NormalIndent"/>
    <w:basedOn w:val="1"/>
    <w:qFormat/>
    <w:uiPriority w:val="99"/>
    <w:pPr>
      <w:ind w:firstLine="420"/>
    </w:pPr>
  </w:style>
  <w:style w:type="paragraph" w:customStyle="1" w:styleId="21">
    <w:name w:val="BodyText1I"/>
    <w:basedOn w:val="22"/>
    <w:qFormat/>
    <w:uiPriority w:val="99"/>
    <w:pPr>
      <w:ind w:firstLine="420" w:firstLineChars="100"/>
    </w:pPr>
  </w:style>
  <w:style w:type="paragraph" w:customStyle="1" w:styleId="22">
    <w:name w:val="BodyText"/>
    <w:basedOn w:val="1"/>
    <w:next w:val="1"/>
    <w:qFormat/>
    <w:uiPriority w:val="99"/>
    <w:pPr>
      <w:spacing w:after="120"/>
      <w:textAlignment w:val="baseline"/>
    </w:pPr>
  </w:style>
  <w:style w:type="character" w:customStyle="1" w:styleId="23">
    <w:name w:val="批注框文本 字符"/>
    <w:basedOn w:val="16"/>
    <w:link w:val="10"/>
    <w:qFormat/>
    <w:uiPriority w:val="0"/>
    <w:rPr>
      <w:rFonts w:asciiTheme="minorHAnsi" w:hAnsiTheme="minorHAnsi" w:eastAsiaTheme="minorEastAsia" w:cstheme="minorBidi"/>
      <w:kern w:val="2"/>
      <w:sz w:val="18"/>
      <w:szCs w:val="18"/>
    </w:rPr>
  </w:style>
  <w:style w:type="character" w:customStyle="1" w:styleId="24">
    <w:name w:val="NormalCharacter"/>
    <w:link w:val="25"/>
    <w:qFormat/>
    <w:uiPriority w:val="0"/>
    <w:rPr>
      <w:rFonts w:ascii="宋体" w:hAnsi="宋体" w:eastAsia="等线"/>
      <w:sz w:val="32"/>
      <w:szCs w:val="32"/>
    </w:rPr>
  </w:style>
  <w:style w:type="paragraph" w:customStyle="1" w:styleId="25">
    <w:name w:val="UserStyle_3"/>
    <w:basedOn w:val="1"/>
    <w:link w:val="24"/>
    <w:qFormat/>
    <w:uiPriority w:val="0"/>
    <w:pPr>
      <w:widowControl/>
      <w:textAlignment w:val="baseline"/>
    </w:pPr>
    <w:rPr>
      <w:rFonts w:ascii="宋体" w:hAnsi="宋体" w:eastAsia="等线"/>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4CCDF-B244-473A-ADC5-BC4D7B360ED7}">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17852</Words>
  <Characters>17902</Characters>
  <Lines>206</Lines>
  <Paragraphs>58</Paragraphs>
  <TotalTime>14</TotalTime>
  <ScaleCrop>false</ScaleCrop>
  <LinksUpToDate>false</LinksUpToDate>
  <CharactersWithSpaces>17903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2025-06-19T03:42:00Z</dcterms:created>
  <dc:creator>lszh</dc:creator>
  <cp:lastModifiedBy>Administrator</cp:lastModifiedBy>
  <dcterms:modified xsi:type="dcterms:W3CDTF">2026-02-10T03:19:49Z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eyJoZGlkIjoiNDRhMDJjMWVlNzJkYWIyMGNkMzY2OWU4ZjNiMGIyYmYifQ==</vt:lpwstr>
  </property>
  <property fmtid="{D5CDD505-2E9C-101B-9397-08002B2CF9AE}" pid="4" name="ICV">
    <vt:lpwstr>14341A6090FE41BF929ED1A5281F87D7_13</vt:lpwstr>
  </property>
</Properties>
</file>