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北京市朝阳循环经济产业园</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减污降碳协同创新试点实施方案</w:t>
      </w:r>
    </w:p>
    <w:p>
      <w:pPr>
        <w:pStyle w:val="2"/>
        <w:jc w:val="center"/>
        <w:rPr>
          <w:rFonts w:hint="eastAsia" w:ascii="仿宋_GB2312" w:eastAsia="仿宋_GB2312"/>
          <w:sz w:val="40"/>
        </w:rPr>
      </w:pPr>
      <w:r>
        <w:rPr>
          <w:rFonts w:hint="eastAsia" w:ascii="仿宋_GB2312" w:eastAsia="仿宋_GB2312"/>
          <w:sz w:val="40"/>
        </w:rPr>
        <w:t>（征求意见稿）</w:t>
      </w:r>
    </w:p>
    <w:p>
      <w:pPr>
        <w:spacing w:line="600" w:lineRule="exact"/>
        <w:ind w:firstLine="640" w:firstLineChars="200"/>
        <w:rPr>
          <w:rFonts w:eastAsia="仿宋_GB2312"/>
          <w:color w:val="000000"/>
          <w:sz w:val="32"/>
          <w:szCs w:val="32"/>
        </w:rPr>
      </w:pPr>
      <w:r>
        <w:rPr>
          <w:rFonts w:eastAsia="仿宋_GB2312"/>
          <w:color w:val="000000"/>
          <w:sz w:val="32"/>
          <w:szCs w:val="32"/>
        </w:rPr>
        <w:t>为扎实推进北京市朝阳循环经济产业园减污降碳协同创新试点建设，立足园区城市废弃物来源多、种类杂、规模大、污染重、风险高、协同难等产业特点，聚焦城市废弃物高效处理及资源化高值利用，积极探索循环经济产业园减污降碳协同模式，实现园区绿色低碳高质量发展，结合园区实际，制定本实施方案。</w:t>
      </w:r>
    </w:p>
    <w:p>
      <w:pPr>
        <w:keepNext/>
        <w:keepLines/>
        <w:spacing w:line="600" w:lineRule="exact"/>
        <w:ind w:firstLine="640" w:firstLineChars="200"/>
        <w:jc w:val="left"/>
        <w:outlineLvl w:val="0"/>
        <w:rPr>
          <w:rFonts w:ascii="黑体" w:hAnsi="黑体" w:eastAsia="黑体"/>
          <w:bCs/>
          <w:kern w:val="44"/>
          <w:sz w:val="32"/>
          <w:szCs w:val="32"/>
        </w:rPr>
      </w:pPr>
      <w:bookmarkStart w:id="0" w:name="_Toc167981321"/>
      <w:r>
        <w:rPr>
          <w:rFonts w:ascii="黑体" w:hAnsi="黑体" w:eastAsia="黑体"/>
          <w:bCs/>
          <w:kern w:val="44"/>
          <w:sz w:val="32"/>
          <w:szCs w:val="32"/>
        </w:rPr>
        <w:t>一、总体要求</w:t>
      </w:r>
      <w:bookmarkEnd w:id="0"/>
    </w:p>
    <w:p>
      <w:pPr>
        <w:spacing w:line="600" w:lineRule="exact"/>
        <w:ind w:firstLine="640" w:firstLineChars="200"/>
        <w:rPr>
          <w:rFonts w:eastAsia="仿宋_GB2312"/>
          <w:sz w:val="32"/>
          <w:szCs w:val="32"/>
        </w:rPr>
      </w:pPr>
      <w:r>
        <w:rPr>
          <w:rFonts w:eastAsia="仿宋_GB2312"/>
          <w:sz w:val="32"/>
          <w:szCs w:val="32"/>
        </w:rPr>
        <w:t>以习近平新时代中国特色社会主义思想为指导，深入贯彻习近平生态文明思想，坚持稳中求进工作总基调，立足新发展阶段，完整、准确、全面贯彻新发展理念，锚定美丽中国建设和碳达峰碳中和目标，科学把握污染防治和温室气体减排的整体性。以园区城市废弃物处理集群产业为基础，落实《减污降碳协同增效实施方案》（环综合</w:t>
      </w:r>
      <w:r>
        <w:rPr>
          <w:rFonts w:hint="eastAsia" w:eastAsia="仿宋_GB2312"/>
          <w:sz w:val="32"/>
          <w:szCs w:val="32"/>
        </w:rPr>
        <w:t>〔</w:t>
      </w:r>
      <w:r>
        <w:rPr>
          <w:rFonts w:eastAsia="仿宋_GB2312"/>
          <w:sz w:val="32"/>
          <w:szCs w:val="32"/>
        </w:rPr>
        <w:t>2022</w:t>
      </w:r>
      <w:r>
        <w:rPr>
          <w:rFonts w:hint="eastAsia" w:eastAsia="仿宋_GB2312"/>
          <w:sz w:val="32"/>
          <w:szCs w:val="32"/>
        </w:rPr>
        <w:t>〕</w:t>
      </w:r>
      <w:r>
        <w:rPr>
          <w:rFonts w:eastAsia="仿宋_GB2312"/>
          <w:sz w:val="32"/>
          <w:szCs w:val="32"/>
        </w:rPr>
        <w:t>42号）具体要求，通过</w:t>
      </w:r>
      <w:r>
        <w:rPr>
          <w:rFonts w:hint="eastAsia" w:eastAsia="仿宋_GB2312"/>
          <w:sz w:val="32"/>
          <w:szCs w:val="32"/>
        </w:rPr>
        <w:t>“</w:t>
      </w:r>
      <w:r>
        <w:rPr>
          <w:rFonts w:eastAsia="仿宋_GB2312"/>
          <w:sz w:val="32"/>
          <w:szCs w:val="32"/>
        </w:rPr>
        <w:t>补链、塑链、</w:t>
      </w:r>
      <w:bookmarkStart w:id="16" w:name="_GoBack"/>
      <w:bookmarkEnd w:id="16"/>
      <w:r>
        <w:rPr>
          <w:rFonts w:eastAsia="仿宋_GB2312"/>
          <w:sz w:val="32"/>
          <w:szCs w:val="32"/>
        </w:rPr>
        <w:t>强链、优链、统链、普链</w:t>
      </w:r>
      <w:r>
        <w:rPr>
          <w:rFonts w:hint="eastAsia" w:eastAsia="仿宋_GB2312"/>
          <w:sz w:val="32"/>
          <w:szCs w:val="32"/>
        </w:rPr>
        <w:t>”</w:t>
      </w:r>
      <w:r>
        <w:rPr>
          <w:rFonts w:eastAsia="仿宋_GB2312"/>
          <w:sz w:val="32"/>
          <w:szCs w:val="32"/>
        </w:rPr>
        <w:t>等系列措施，实现园区各产业链环相扣，提高北京市废弃物环境治理综合效能，构建适应北京市的城市废弃物减污降碳协同新发展格局，形成具有国际影响力的城市废弃物减污降碳协同范式，推动循环经济产业高质量发展，实现环境效益、气候效益、经济效益多赢。</w:t>
      </w:r>
    </w:p>
    <w:p>
      <w:pPr>
        <w:keepNext/>
        <w:keepLines/>
        <w:numPr>
          <w:ilvl w:val="1"/>
          <w:numId w:val="0"/>
        </w:numPr>
        <w:spacing w:line="600" w:lineRule="exact"/>
        <w:ind w:firstLine="643" w:firstLineChars="200"/>
        <w:outlineLvl w:val="1"/>
        <w:rPr>
          <w:rFonts w:ascii="楷体_GB2312" w:eastAsia="楷体_GB2312"/>
          <w:b/>
          <w:bCs/>
          <w:color w:val="000000"/>
          <w:sz w:val="32"/>
          <w:szCs w:val="32"/>
        </w:rPr>
      </w:pPr>
      <w:bookmarkStart w:id="1" w:name="_Toc167981323"/>
      <w:bookmarkStart w:id="2" w:name="_Toc24008"/>
      <w:r>
        <w:rPr>
          <w:rFonts w:hint="eastAsia" w:ascii="楷体_GB2312" w:eastAsia="楷体_GB2312"/>
          <w:b/>
          <w:bCs/>
          <w:color w:val="000000"/>
          <w:sz w:val="32"/>
          <w:szCs w:val="32"/>
        </w:rPr>
        <w:t>（一）基本原则</w:t>
      </w:r>
      <w:bookmarkEnd w:id="1"/>
      <w:bookmarkEnd w:id="2"/>
    </w:p>
    <w:p>
      <w:pPr>
        <w:spacing w:line="600" w:lineRule="exact"/>
        <w:ind w:firstLine="643" w:firstLineChars="200"/>
        <w:rPr>
          <w:rFonts w:eastAsia="仿宋_GB2312"/>
          <w:color w:val="000000"/>
          <w:sz w:val="32"/>
          <w:szCs w:val="32"/>
        </w:rPr>
      </w:pPr>
      <w:bookmarkStart w:id="3" w:name="_Toc167981324"/>
      <w:r>
        <w:rPr>
          <w:rFonts w:eastAsia="仿宋_GB2312"/>
          <w:b/>
          <w:bCs/>
          <w:color w:val="000000"/>
          <w:sz w:val="32"/>
          <w:szCs w:val="32"/>
        </w:rPr>
        <w:t>协同增效。</w:t>
      </w:r>
      <w:r>
        <w:rPr>
          <w:rFonts w:eastAsia="仿宋_GB2312"/>
          <w:color w:val="000000"/>
          <w:sz w:val="32"/>
          <w:szCs w:val="32"/>
        </w:rPr>
        <w:t>基于污染物和温室气体排放高度同根同源的特征，强化设施协同、资源协同、能源协同、人才协同、技术协同、信息协同，以减污降碳行动深化环境治理，以环境治理助推园区高质量发展。</w:t>
      </w:r>
    </w:p>
    <w:p>
      <w:pPr>
        <w:spacing w:line="600" w:lineRule="exact"/>
        <w:ind w:firstLine="643" w:firstLineChars="200"/>
        <w:rPr>
          <w:rFonts w:eastAsia="仿宋_GB2312"/>
          <w:color w:val="000000"/>
          <w:sz w:val="32"/>
          <w:szCs w:val="32"/>
        </w:rPr>
      </w:pPr>
      <w:r>
        <w:rPr>
          <w:rFonts w:eastAsia="仿宋_GB2312"/>
          <w:b/>
          <w:bCs/>
          <w:color w:val="000000"/>
          <w:sz w:val="32"/>
          <w:szCs w:val="32"/>
        </w:rPr>
        <w:t>创新引领。</w:t>
      </w:r>
      <w:r>
        <w:rPr>
          <w:rFonts w:eastAsia="仿宋_GB2312"/>
          <w:color w:val="000000"/>
          <w:sz w:val="32"/>
          <w:szCs w:val="32"/>
        </w:rPr>
        <w:t>坚持技术创新和制度创新，破解关键技术节点，优</w:t>
      </w:r>
      <w:r>
        <w:rPr>
          <w:rFonts w:eastAsia="仿宋_GB2312"/>
          <w:sz w:val="32"/>
          <w:szCs w:val="32"/>
        </w:rPr>
        <w:t>化技术路径、治理路径和协同路径，完善园</w:t>
      </w:r>
      <w:r>
        <w:rPr>
          <w:rFonts w:eastAsia="仿宋_GB2312"/>
          <w:color w:val="000000"/>
          <w:sz w:val="32"/>
          <w:szCs w:val="32"/>
        </w:rPr>
        <w:t>区技术、管理体系，增强污染防治与温室气体减排的协调性，引领城市废弃物园区化协同处理减污降碳新模式。</w:t>
      </w:r>
    </w:p>
    <w:p>
      <w:pPr>
        <w:numPr>
          <w:ilvl w:val="2"/>
          <w:numId w:val="0"/>
        </w:numPr>
        <w:spacing w:line="600" w:lineRule="exact"/>
        <w:ind w:firstLine="643" w:firstLineChars="200"/>
        <w:rPr>
          <w:rFonts w:eastAsia="仿宋_GB2312"/>
          <w:color w:val="000000"/>
          <w:sz w:val="32"/>
          <w:szCs w:val="32"/>
          <w:highlight w:val="yellow"/>
        </w:rPr>
      </w:pPr>
      <w:r>
        <w:rPr>
          <w:rFonts w:eastAsia="仿宋_GB2312"/>
          <w:b/>
          <w:bCs/>
          <w:color w:val="000000"/>
          <w:sz w:val="32"/>
          <w:szCs w:val="32"/>
        </w:rPr>
        <w:t>内外联动。</w:t>
      </w:r>
      <w:r>
        <w:rPr>
          <w:rFonts w:eastAsia="仿宋_GB2312"/>
          <w:color w:val="000000"/>
          <w:sz w:val="32"/>
          <w:szCs w:val="32"/>
        </w:rPr>
        <w:t>充分结合园区发展与区域发展，充分协调园区规划与区域规划，充分适应园区制度与区域政策，探索</w:t>
      </w:r>
      <w:r>
        <w:rPr>
          <w:rFonts w:eastAsia="仿宋_GB2312"/>
          <w:sz w:val="32"/>
          <w:szCs w:val="32"/>
        </w:rPr>
        <w:t>政府主导、企业主体、公众参与的园区共商、共建、共享发展机制，形成园区内外互联互通、融合共生的污碳共治体系。</w:t>
      </w:r>
    </w:p>
    <w:p>
      <w:pPr>
        <w:numPr>
          <w:ilvl w:val="2"/>
          <w:numId w:val="0"/>
        </w:numPr>
        <w:spacing w:line="600" w:lineRule="exact"/>
        <w:ind w:firstLine="643" w:firstLineChars="200"/>
        <w:rPr>
          <w:rFonts w:eastAsia="仿宋_GB2312"/>
          <w:b/>
          <w:bCs/>
          <w:color w:val="000000"/>
          <w:sz w:val="32"/>
          <w:szCs w:val="32"/>
        </w:rPr>
      </w:pPr>
      <w:r>
        <w:rPr>
          <w:rFonts w:eastAsia="仿宋_GB2312"/>
          <w:b/>
          <w:bCs/>
          <w:color w:val="000000"/>
          <w:sz w:val="32"/>
          <w:szCs w:val="32"/>
        </w:rPr>
        <w:t>软硬并重。</w:t>
      </w:r>
      <w:r>
        <w:rPr>
          <w:rFonts w:eastAsia="仿宋_GB2312"/>
          <w:color w:val="000000"/>
          <w:sz w:val="32"/>
          <w:szCs w:val="32"/>
        </w:rPr>
        <w:t>依托园区循环经济产业、服务设施等工程设施建设，提升园区资源管理体系、能源管理体系、环境管理体系、信息制度体系等软实力，促使产业与管理齐头并进、共同发展、互为支撑。</w:t>
      </w:r>
    </w:p>
    <w:p>
      <w:pPr>
        <w:keepNext/>
        <w:keepLines/>
        <w:numPr>
          <w:ilvl w:val="1"/>
          <w:numId w:val="0"/>
        </w:numPr>
        <w:spacing w:line="600" w:lineRule="exact"/>
        <w:ind w:firstLine="643" w:firstLineChars="200"/>
        <w:outlineLvl w:val="1"/>
        <w:rPr>
          <w:rFonts w:ascii="楷体_GB2312" w:eastAsia="楷体_GB2312"/>
          <w:b/>
          <w:bCs/>
          <w:color w:val="000000"/>
          <w:sz w:val="32"/>
          <w:szCs w:val="32"/>
        </w:rPr>
      </w:pPr>
      <w:r>
        <w:rPr>
          <w:rFonts w:hint="eastAsia" w:ascii="楷体_GB2312" w:eastAsia="楷体_GB2312"/>
          <w:b/>
          <w:bCs/>
          <w:color w:val="000000"/>
          <w:sz w:val="32"/>
          <w:szCs w:val="32"/>
        </w:rPr>
        <w:t>（二）总体目标</w:t>
      </w:r>
      <w:bookmarkEnd w:id="3"/>
    </w:p>
    <w:p>
      <w:pPr>
        <w:numPr>
          <w:ilvl w:val="2"/>
          <w:numId w:val="0"/>
        </w:numPr>
        <w:spacing w:line="600" w:lineRule="exact"/>
        <w:ind w:firstLine="640"/>
        <w:rPr>
          <w:rFonts w:eastAsia="仿宋_GB2312"/>
          <w:color w:val="000000"/>
          <w:sz w:val="32"/>
          <w:szCs w:val="32"/>
          <w:highlight w:val="yellow"/>
        </w:rPr>
      </w:pPr>
      <w:r>
        <w:rPr>
          <w:rFonts w:eastAsia="仿宋_GB2312"/>
          <w:color w:val="000000"/>
          <w:sz w:val="32"/>
          <w:szCs w:val="32"/>
        </w:rPr>
        <w:t>经过园区三年一批试点项目的建设运行，园区城市废弃物综合处理能力大幅提高，减污降碳协同技术路径逐渐拓宽，产业结构、能源结构、发展模式进一步改进，能源资源配置更加合理，减污降碳协同治理取得明显成效，综合效益更加显著，构建具有示范意义的城市废弃物高效污碳协同模式。</w:t>
      </w:r>
    </w:p>
    <w:p>
      <w:pPr>
        <w:numPr>
          <w:ilvl w:val="2"/>
          <w:numId w:val="0"/>
        </w:numPr>
        <w:spacing w:line="600" w:lineRule="exact"/>
        <w:ind w:firstLine="640"/>
        <w:rPr>
          <w:rFonts w:eastAsia="仿宋_GB2312"/>
          <w:color w:val="000000"/>
          <w:sz w:val="32"/>
          <w:szCs w:val="32"/>
        </w:rPr>
      </w:pPr>
      <w:r>
        <w:rPr>
          <w:rFonts w:eastAsia="仿宋_GB2312"/>
          <w:color w:val="000000"/>
          <w:sz w:val="32"/>
          <w:szCs w:val="32"/>
        </w:rPr>
        <w:t>到2026年底，较2023年：</w:t>
      </w:r>
      <w:r>
        <w:rPr>
          <w:rFonts w:eastAsia="仿宋_GB2312"/>
          <w:sz w:val="32"/>
          <w:szCs w:val="32"/>
        </w:rPr>
        <w:t>园区综合处理能力提高3000t/d；园区总产值提高5%；绿色电力供应能力提升1亿kW·h；减污降碳协同度提高5%；单位垃圾处理量碳排放下降6%；工业用水重复利用率提高至95%；</w:t>
      </w:r>
      <w:r>
        <w:rPr>
          <w:rFonts w:eastAsia="仿宋_GB2312"/>
          <w:color w:val="000000"/>
          <w:sz w:val="32"/>
          <w:szCs w:val="32"/>
        </w:rPr>
        <w:t>通过建设一批减污降碳协同创新标杆项目，碳排放量减少18万t。</w:t>
      </w:r>
    </w:p>
    <w:p>
      <w:pPr>
        <w:keepNext/>
        <w:keepLines/>
        <w:numPr>
          <w:ilvl w:val="1"/>
          <w:numId w:val="0"/>
        </w:numPr>
        <w:spacing w:line="600" w:lineRule="exact"/>
        <w:ind w:firstLine="643" w:firstLineChars="200"/>
        <w:outlineLvl w:val="1"/>
        <w:rPr>
          <w:rFonts w:ascii="楷体_GB2312" w:eastAsia="楷体_GB2312"/>
          <w:b/>
          <w:bCs/>
          <w:color w:val="000000"/>
          <w:sz w:val="32"/>
          <w:szCs w:val="32"/>
        </w:rPr>
      </w:pPr>
      <w:r>
        <w:rPr>
          <w:rFonts w:hint="eastAsia" w:ascii="楷体_GB2312" w:eastAsia="楷体_GB2312"/>
          <w:b/>
          <w:bCs/>
          <w:color w:val="000000"/>
          <w:sz w:val="32"/>
          <w:szCs w:val="32"/>
        </w:rPr>
        <w:t>（三）年度目标</w:t>
      </w:r>
    </w:p>
    <w:p>
      <w:pPr>
        <w:spacing w:line="600" w:lineRule="exact"/>
        <w:ind w:firstLine="640" w:firstLineChars="200"/>
        <w:rPr>
          <w:rFonts w:eastAsia="仿宋_GB2312"/>
          <w:sz w:val="32"/>
          <w:szCs w:val="32"/>
        </w:rPr>
      </w:pPr>
      <w:r>
        <w:rPr>
          <w:rFonts w:eastAsia="仿宋_GB2312"/>
          <w:sz w:val="32"/>
          <w:szCs w:val="32"/>
        </w:rPr>
        <w:t>到2024年底，成立北京市朝阳循环经济产业园减污降碳协同创新领导小组，构建具有园区特色的减污降碳协同评价指标体系，完成减污降碳协同增效工程项目3项，园区综合处理能力提升1000t/d。</w:t>
      </w:r>
    </w:p>
    <w:p>
      <w:pPr>
        <w:spacing w:line="600" w:lineRule="exact"/>
        <w:ind w:firstLine="640" w:firstLineChars="200"/>
        <w:rPr>
          <w:rFonts w:eastAsia="仿宋_GB2312"/>
          <w:sz w:val="32"/>
          <w:szCs w:val="32"/>
        </w:rPr>
      </w:pPr>
      <w:r>
        <w:rPr>
          <w:rFonts w:eastAsia="仿宋_GB2312"/>
          <w:sz w:val="32"/>
          <w:szCs w:val="32"/>
        </w:rPr>
        <w:t>到2025年底，累计完成减污降碳协同增效工程项目4项，累计制定</w:t>
      </w:r>
      <w:r>
        <w:rPr>
          <w:rFonts w:eastAsia="仿宋_GB2312"/>
          <w:color w:val="000000"/>
          <w:sz w:val="32"/>
          <w:szCs w:val="32"/>
        </w:rPr>
        <w:t>减污降碳协同创新技术类相</w:t>
      </w:r>
      <w:r>
        <w:rPr>
          <w:rFonts w:eastAsia="仿宋_GB2312"/>
          <w:sz w:val="32"/>
          <w:szCs w:val="32"/>
        </w:rPr>
        <w:t xml:space="preserve">关标准4项，进一步优化园区减污降碳协同管理机制和减污降碳协同评价指标体系，绿电供应量新增107万kW·h。 </w:t>
      </w:r>
    </w:p>
    <w:p>
      <w:pPr>
        <w:spacing w:line="600" w:lineRule="exact"/>
        <w:ind w:firstLine="640" w:firstLineChars="200"/>
        <w:rPr>
          <w:rFonts w:eastAsia="仿宋_GB2312"/>
          <w:sz w:val="32"/>
          <w:szCs w:val="32"/>
        </w:rPr>
      </w:pPr>
      <w:r>
        <w:rPr>
          <w:rFonts w:eastAsia="仿宋_GB2312"/>
          <w:sz w:val="32"/>
          <w:szCs w:val="32"/>
        </w:rPr>
        <w:t>到2026年底，全部完成减污降碳协同增效工程项目。建立焚烧发电、光伏发电等多元化绿色能源体系，形成一批可推广的减污降碳技术路径和发展模式，减污降碳协同创新指标全部达成。</w:t>
      </w:r>
    </w:p>
    <w:p>
      <w:pPr>
        <w:spacing w:line="600" w:lineRule="exact"/>
        <w:jc w:val="center"/>
        <w:rPr>
          <w:rFonts w:eastAsia="仿宋_GB2312"/>
          <w:b/>
          <w:sz w:val="32"/>
          <w:szCs w:val="32"/>
        </w:rPr>
      </w:pPr>
      <w:r>
        <w:rPr>
          <w:rFonts w:eastAsia="仿宋_GB2312"/>
          <w:b/>
          <w:sz w:val="32"/>
          <w:szCs w:val="32"/>
        </w:rPr>
        <w:t>表 1-1 创新试点主要指标</w:t>
      </w:r>
    </w:p>
    <w:tbl>
      <w:tblPr>
        <w:tblStyle w:val="6"/>
        <w:tblW w:w="88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883"/>
        <w:gridCol w:w="4936"/>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356" w:type="dxa"/>
            <w:vAlign w:val="center"/>
          </w:tcPr>
          <w:p>
            <w:pPr>
              <w:spacing w:line="600" w:lineRule="exact"/>
              <w:jc w:val="center"/>
              <w:rPr>
                <w:rFonts w:eastAsia="仿宋_GB2312"/>
                <w:b/>
                <w:bCs/>
                <w:sz w:val="28"/>
                <w:szCs w:val="32"/>
              </w:rPr>
            </w:pPr>
            <w:r>
              <w:rPr>
                <w:rFonts w:eastAsia="仿宋_GB2312"/>
                <w:b/>
                <w:bCs/>
                <w:sz w:val="28"/>
                <w:szCs w:val="32"/>
              </w:rPr>
              <w:t>分类</w:t>
            </w:r>
          </w:p>
        </w:tc>
        <w:tc>
          <w:tcPr>
            <w:tcW w:w="883" w:type="dxa"/>
            <w:vAlign w:val="center"/>
          </w:tcPr>
          <w:p>
            <w:pPr>
              <w:spacing w:line="600" w:lineRule="exact"/>
              <w:jc w:val="center"/>
              <w:rPr>
                <w:rFonts w:eastAsia="仿宋_GB2312"/>
                <w:b/>
                <w:bCs/>
                <w:sz w:val="28"/>
                <w:szCs w:val="32"/>
              </w:rPr>
            </w:pPr>
            <w:r>
              <w:rPr>
                <w:rFonts w:eastAsia="仿宋_GB2312"/>
                <w:b/>
                <w:bCs/>
                <w:sz w:val="28"/>
                <w:szCs w:val="32"/>
              </w:rPr>
              <w:t>序号</w:t>
            </w:r>
          </w:p>
        </w:tc>
        <w:tc>
          <w:tcPr>
            <w:tcW w:w="4936" w:type="dxa"/>
            <w:vAlign w:val="center"/>
          </w:tcPr>
          <w:p>
            <w:pPr>
              <w:spacing w:line="600" w:lineRule="exact"/>
              <w:jc w:val="center"/>
              <w:rPr>
                <w:rFonts w:eastAsia="仿宋_GB2312"/>
                <w:b/>
                <w:bCs/>
                <w:sz w:val="28"/>
                <w:szCs w:val="32"/>
              </w:rPr>
            </w:pPr>
            <w:r>
              <w:rPr>
                <w:rFonts w:eastAsia="仿宋_GB2312"/>
                <w:b/>
                <w:bCs/>
                <w:sz w:val="28"/>
                <w:szCs w:val="32"/>
              </w:rPr>
              <w:t>指标名称</w:t>
            </w:r>
          </w:p>
        </w:tc>
        <w:tc>
          <w:tcPr>
            <w:tcW w:w="1659" w:type="dxa"/>
            <w:vAlign w:val="center"/>
          </w:tcPr>
          <w:p>
            <w:pPr>
              <w:spacing w:line="600" w:lineRule="exact"/>
              <w:jc w:val="center"/>
              <w:rPr>
                <w:rFonts w:eastAsia="仿宋_GB2312"/>
                <w:b/>
                <w:bCs/>
                <w:sz w:val="28"/>
                <w:szCs w:val="32"/>
              </w:rPr>
            </w:pPr>
            <w:r>
              <w:rPr>
                <w:rFonts w:eastAsia="仿宋_GB2312"/>
                <w:b/>
                <w:bCs/>
                <w:sz w:val="28"/>
                <w:szCs w:val="32"/>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6" w:type="dxa"/>
            <w:vMerge w:val="restart"/>
            <w:vAlign w:val="center"/>
          </w:tcPr>
          <w:p>
            <w:pPr>
              <w:spacing w:line="520" w:lineRule="exact"/>
              <w:jc w:val="center"/>
              <w:rPr>
                <w:rFonts w:eastAsia="仿宋_GB2312"/>
                <w:sz w:val="28"/>
                <w:szCs w:val="32"/>
              </w:rPr>
            </w:pPr>
            <w:r>
              <w:rPr>
                <w:rFonts w:eastAsia="仿宋_GB2312"/>
                <w:sz w:val="28"/>
                <w:szCs w:val="32"/>
              </w:rPr>
              <w:t>处理能力及碳减排</w:t>
            </w:r>
          </w:p>
        </w:tc>
        <w:tc>
          <w:tcPr>
            <w:tcW w:w="883" w:type="dxa"/>
            <w:vAlign w:val="center"/>
          </w:tcPr>
          <w:p>
            <w:pPr>
              <w:numPr>
                <w:ilvl w:val="0"/>
                <w:numId w:val="1"/>
              </w:numPr>
              <w:spacing w:line="600" w:lineRule="exact"/>
              <w:jc w:val="center"/>
              <w:rPr>
                <w:rFonts w:eastAsia="仿宋_GB2312"/>
                <w:sz w:val="28"/>
                <w:szCs w:val="32"/>
              </w:rPr>
            </w:pPr>
          </w:p>
        </w:tc>
        <w:tc>
          <w:tcPr>
            <w:tcW w:w="4936" w:type="dxa"/>
            <w:vAlign w:val="center"/>
          </w:tcPr>
          <w:p>
            <w:pPr>
              <w:spacing w:line="600" w:lineRule="exact"/>
              <w:jc w:val="center"/>
              <w:rPr>
                <w:rFonts w:eastAsia="仿宋_GB2312"/>
                <w:strike/>
                <w:color w:val="000000"/>
                <w:sz w:val="28"/>
                <w:szCs w:val="32"/>
              </w:rPr>
            </w:pPr>
            <w:r>
              <w:rPr>
                <w:rFonts w:eastAsia="仿宋_GB2312"/>
                <w:color w:val="000000"/>
                <w:sz w:val="28"/>
                <w:szCs w:val="32"/>
              </w:rPr>
              <w:t>园区总产值提高率</w:t>
            </w:r>
          </w:p>
        </w:tc>
        <w:tc>
          <w:tcPr>
            <w:tcW w:w="1659" w:type="dxa"/>
            <w:vAlign w:val="center"/>
          </w:tcPr>
          <w:p>
            <w:pPr>
              <w:spacing w:line="600" w:lineRule="exact"/>
              <w:jc w:val="center"/>
              <w:rPr>
                <w:rFonts w:eastAsia="仿宋_GB2312"/>
                <w:strike/>
                <w:sz w:val="28"/>
                <w:szCs w:val="32"/>
              </w:rPr>
            </w:pPr>
            <w:r>
              <w:rPr>
                <w:rFonts w:eastAsia="仿宋_GB2312"/>
                <w:sz w:val="28"/>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6" w:type="dxa"/>
            <w:vMerge w:val="continue"/>
            <w:vAlign w:val="center"/>
          </w:tcPr>
          <w:p>
            <w:pPr>
              <w:spacing w:line="600" w:lineRule="exact"/>
              <w:jc w:val="center"/>
              <w:rPr>
                <w:rFonts w:eastAsia="仿宋_GB2312"/>
                <w:sz w:val="28"/>
                <w:szCs w:val="32"/>
              </w:rPr>
            </w:pPr>
          </w:p>
        </w:tc>
        <w:tc>
          <w:tcPr>
            <w:tcW w:w="883" w:type="dxa"/>
            <w:vAlign w:val="center"/>
          </w:tcPr>
          <w:p>
            <w:pPr>
              <w:numPr>
                <w:ilvl w:val="0"/>
                <w:numId w:val="1"/>
              </w:numPr>
              <w:spacing w:line="600" w:lineRule="exact"/>
              <w:jc w:val="center"/>
              <w:rPr>
                <w:rFonts w:eastAsia="仿宋_GB2312"/>
                <w:sz w:val="28"/>
                <w:szCs w:val="32"/>
              </w:rPr>
            </w:pPr>
          </w:p>
        </w:tc>
        <w:tc>
          <w:tcPr>
            <w:tcW w:w="4936" w:type="dxa"/>
            <w:vAlign w:val="center"/>
          </w:tcPr>
          <w:p>
            <w:pPr>
              <w:spacing w:line="600" w:lineRule="exact"/>
              <w:jc w:val="center"/>
              <w:rPr>
                <w:rFonts w:eastAsia="仿宋_GB2312"/>
                <w:color w:val="000000"/>
                <w:sz w:val="28"/>
                <w:szCs w:val="32"/>
              </w:rPr>
            </w:pPr>
            <w:r>
              <w:rPr>
                <w:rFonts w:eastAsia="仿宋_GB2312"/>
                <w:color w:val="000000"/>
                <w:sz w:val="28"/>
                <w:szCs w:val="32"/>
              </w:rPr>
              <w:t>单位垃圾处理量碳排放量下降率</w:t>
            </w:r>
          </w:p>
        </w:tc>
        <w:tc>
          <w:tcPr>
            <w:tcW w:w="1659" w:type="dxa"/>
            <w:vAlign w:val="center"/>
          </w:tcPr>
          <w:p>
            <w:pPr>
              <w:spacing w:line="600" w:lineRule="exact"/>
              <w:jc w:val="center"/>
              <w:rPr>
                <w:rFonts w:eastAsia="仿宋_GB2312"/>
                <w:sz w:val="28"/>
                <w:szCs w:val="32"/>
              </w:rPr>
            </w:pPr>
            <w:r>
              <w:rPr>
                <w:rFonts w:eastAsia="仿宋_GB2312"/>
                <w:sz w:val="28"/>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6" w:type="dxa"/>
            <w:vMerge w:val="continue"/>
            <w:vAlign w:val="center"/>
          </w:tcPr>
          <w:p>
            <w:pPr>
              <w:spacing w:line="600" w:lineRule="exact"/>
              <w:jc w:val="center"/>
              <w:rPr>
                <w:rFonts w:eastAsia="仿宋_GB2312"/>
                <w:sz w:val="28"/>
                <w:szCs w:val="32"/>
              </w:rPr>
            </w:pPr>
          </w:p>
        </w:tc>
        <w:tc>
          <w:tcPr>
            <w:tcW w:w="883" w:type="dxa"/>
            <w:vAlign w:val="center"/>
          </w:tcPr>
          <w:p>
            <w:pPr>
              <w:numPr>
                <w:ilvl w:val="0"/>
                <w:numId w:val="1"/>
              </w:numPr>
              <w:spacing w:line="600" w:lineRule="exact"/>
              <w:jc w:val="center"/>
              <w:rPr>
                <w:rFonts w:eastAsia="仿宋_GB2312"/>
                <w:sz w:val="28"/>
                <w:szCs w:val="32"/>
              </w:rPr>
            </w:pPr>
          </w:p>
        </w:tc>
        <w:tc>
          <w:tcPr>
            <w:tcW w:w="4936" w:type="dxa"/>
            <w:vAlign w:val="center"/>
          </w:tcPr>
          <w:p>
            <w:pPr>
              <w:spacing w:line="600" w:lineRule="exact"/>
              <w:jc w:val="center"/>
              <w:rPr>
                <w:rFonts w:eastAsia="仿宋_GB2312"/>
                <w:sz w:val="28"/>
                <w:szCs w:val="32"/>
              </w:rPr>
            </w:pPr>
            <w:r>
              <w:rPr>
                <w:rFonts w:eastAsia="仿宋_GB2312"/>
                <w:sz w:val="28"/>
                <w:szCs w:val="32"/>
              </w:rPr>
              <w:t>园区综合处理能力提升量</w:t>
            </w:r>
          </w:p>
        </w:tc>
        <w:tc>
          <w:tcPr>
            <w:tcW w:w="1659" w:type="dxa"/>
            <w:vAlign w:val="center"/>
          </w:tcPr>
          <w:p>
            <w:pPr>
              <w:spacing w:line="600" w:lineRule="exact"/>
              <w:jc w:val="center"/>
              <w:rPr>
                <w:rFonts w:eastAsia="仿宋_GB2312"/>
                <w:sz w:val="28"/>
                <w:szCs w:val="32"/>
              </w:rPr>
            </w:pPr>
            <w:r>
              <w:rPr>
                <w:rFonts w:eastAsia="仿宋_GB2312"/>
                <w:sz w:val="28"/>
                <w:szCs w:val="32"/>
              </w:rPr>
              <w:t>3000t/d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jc w:val="center"/>
        </w:trPr>
        <w:tc>
          <w:tcPr>
            <w:tcW w:w="1356" w:type="dxa"/>
            <w:vMerge w:val="restart"/>
            <w:vAlign w:val="center"/>
          </w:tcPr>
          <w:p>
            <w:pPr>
              <w:spacing w:line="520" w:lineRule="exact"/>
              <w:jc w:val="center"/>
              <w:rPr>
                <w:rFonts w:eastAsia="仿宋_GB2312"/>
                <w:sz w:val="28"/>
                <w:szCs w:val="32"/>
              </w:rPr>
            </w:pPr>
            <w:r>
              <w:rPr>
                <w:rFonts w:eastAsia="仿宋_GB2312"/>
                <w:sz w:val="28"/>
                <w:szCs w:val="32"/>
              </w:rPr>
              <w:t>绿色电力供应能力、污染物减排</w:t>
            </w:r>
          </w:p>
        </w:tc>
        <w:tc>
          <w:tcPr>
            <w:tcW w:w="883" w:type="dxa"/>
            <w:vAlign w:val="center"/>
          </w:tcPr>
          <w:p>
            <w:pPr>
              <w:numPr>
                <w:ilvl w:val="0"/>
                <w:numId w:val="1"/>
              </w:numPr>
              <w:spacing w:line="600" w:lineRule="exact"/>
              <w:jc w:val="center"/>
              <w:rPr>
                <w:rFonts w:eastAsia="仿宋_GB2312"/>
                <w:sz w:val="28"/>
                <w:szCs w:val="32"/>
              </w:rPr>
            </w:pPr>
          </w:p>
        </w:tc>
        <w:tc>
          <w:tcPr>
            <w:tcW w:w="4936" w:type="dxa"/>
            <w:vAlign w:val="center"/>
          </w:tcPr>
          <w:p>
            <w:pPr>
              <w:spacing w:line="600" w:lineRule="exact"/>
              <w:jc w:val="center"/>
              <w:rPr>
                <w:rFonts w:eastAsia="仿宋_GB2312"/>
                <w:sz w:val="28"/>
                <w:szCs w:val="32"/>
              </w:rPr>
            </w:pPr>
            <w:r>
              <w:rPr>
                <w:rFonts w:eastAsia="仿宋_GB2312"/>
                <w:sz w:val="28"/>
                <w:szCs w:val="32"/>
              </w:rPr>
              <w:t>绿色电力供应能力提升量</w:t>
            </w:r>
          </w:p>
        </w:tc>
        <w:tc>
          <w:tcPr>
            <w:tcW w:w="1659" w:type="dxa"/>
            <w:vAlign w:val="center"/>
          </w:tcPr>
          <w:p>
            <w:pPr>
              <w:spacing w:line="600" w:lineRule="exact"/>
              <w:jc w:val="center"/>
              <w:rPr>
                <w:rFonts w:eastAsia="仿宋_GB2312"/>
                <w:sz w:val="28"/>
                <w:szCs w:val="32"/>
              </w:rPr>
            </w:pPr>
            <w:r>
              <w:rPr>
                <w:rFonts w:eastAsia="仿宋_GB2312"/>
                <w:sz w:val="28"/>
                <w:szCs w:val="32"/>
              </w:rPr>
              <w:t>1亿kW·h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6" w:type="dxa"/>
            <w:vMerge w:val="continue"/>
            <w:vAlign w:val="center"/>
          </w:tcPr>
          <w:p>
            <w:pPr>
              <w:spacing w:line="520" w:lineRule="exact"/>
              <w:jc w:val="center"/>
              <w:rPr>
                <w:rFonts w:eastAsia="仿宋_GB2312"/>
                <w:sz w:val="28"/>
                <w:szCs w:val="32"/>
              </w:rPr>
            </w:pPr>
          </w:p>
        </w:tc>
        <w:tc>
          <w:tcPr>
            <w:tcW w:w="883" w:type="dxa"/>
            <w:tcBorders>
              <w:bottom w:val="single" w:color="auto" w:sz="4" w:space="0"/>
            </w:tcBorders>
            <w:vAlign w:val="center"/>
          </w:tcPr>
          <w:p>
            <w:pPr>
              <w:numPr>
                <w:ilvl w:val="0"/>
                <w:numId w:val="1"/>
              </w:numPr>
              <w:spacing w:line="600" w:lineRule="exact"/>
              <w:jc w:val="center"/>
              <w:rPr>
                <w:rFonts w:eastAsia="仿宋_GB2312"/>
                <w:sz w:val="28"/>
                <w:szCs w:val="32"/>
              </w:rPr>
            </w:pPr>
          </w:p>
        </w:tc>
        <w:tc>
          <w:tcPr>
            <w:tcW w:w="4936" w:type="dxa"/>
            <w:tcBorders>
              <w:bottom w:val="single" w:color="auto" w:sz="4" w:space="0"/>
            </w:tcBorders>
            <w:vAlign w:val="center"/>
          </w:tcPr>
          <w:p>
            <w:pPr>
              <w:spacing w:line="600" w:lineRule="exact"/>
              <w:jc w:val="center"/>
              <w:rPr>
                <w:rFonts w:eastAsia="仿宋_GB2312"/>
                <w:sz w:val="28"/>
                <w:szCs w:val="32"/>
              </w:rPr>
            </w:pPr>
            <w:r>
              <w:rPr>
                <w:rFonts w:eastAsia="仿宋_GB2312"/>
                <w:sz w:val="28"/>
                <w:szCs w:val="32"/>
              </w:rPr>
              <w:t>工业用水重复利用率</w:t>
            </w:r>
          </w:p>
        </w:tc>
        <w:tc>
          <w:tcPr>
            <w:tcW w:w="1659" w:type="dxa"/>
            <w:tcBorders>
              <w:bottom w:val="single" w:color="auto" w:sz="4" w:space="0"/>
            </w:tcBorders>
            <w:vAlign w:val="center"/>
          </w:tcPr>
          <w:p>
            <w:pPr>
              <w:spacing w:line="600" w:lineRule="exact"/>
              <w:jc w:val="center"/>
              <w:rPr>
                <w:rFonts w:eastAsia="仿宋_GB2312"/>
                <w:sz w:val="28"/>
                <w:szCs w:val="32"/>
              </w:rPr>
            </w:pPr>
            <w:r>
              <w:rPr>
                <w:rFonts w:eastAsia="仿宋_GB2312"/>
                <w:sz w:val="28"/>
                <w:szCs w:val="32"/>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6" w:type="dxa"/>
            <w:vMerge w:val="continue"/>
            <w:tcBorders>
              <w:bottom w:val="single" w:color="auto" w:sz="4" w:space="0"/>
            </w:tcBorders>
            <w:vAlign w:val="center"/>
          </w:tcPr>
          <w:p>
            <w:pPr>
              <w:spacing w:line="520" w:lineRule="exact"/>
              <w:jc w:val="center"/>
              <w:rPr>
                <w:rFonts w:eastAsia="仿宋_GB2312"/>
                <w:sz w:val="28"/>
                <w:szCs w:val="32"/>
              </w:rPr>
            </w:pPr>
          </w:p>
        </w:tc>
        <w:tc>
          <w:tcPr>
            <w:tcW w:w="883" w:type="dxa"/>
            <w:tcBorders>
              <w:bottom w:val="single" w:color="auto" w:sz="4" w:space="0"/>
            </w:tcBorders>
            <w:vAlign w:val="center"/>
          </w:tcPr>
          <w:p>
            <w:pPr>
              <w:numPr>
                <w:ilvl w:val="0"/>
                <w:numId w:val="1"/>
              </w:numPr>
              <w:spacing w:line="600" w:lineRule="exact"/>
              <w:jc w:val="center"/>
              <w:rPr>
                <w:rFonts w:eastAsia="仿宋_GB2312"/>
                <w:sz w:val="28"/>
                <w:szCs w:val="32"/>
              </w:rPr>
            </w:pPr>
          </w:p>
        </w:tc>
        <w:tc>
          <w:tcPr>
            <w:tcW w:w="4936" w:type="dxa"/>
            <w:tcBorders>
              <w:bottom w:val="single" w:color="auto" w:sz="4" w:space="0"/>
            </w:tcBorders>
            <w:vAlign w:val="center"/>
          </w:tcPr>
          <w:p>
            <w:pPr>
              <w:spacing w:line="600" w:lineRule="exact"/>
              <w:jc w:val="center"/>
              <w:rPr>
                <w:rFonts w:eastAsia="仿宋_GB2312"/>
                <w:sz w:val="28"/>
                <w:szCs w:val="32"/>
              </w:rPr>
            </w:pPr>
            <w:r>
              <w:rPr>
                <w:rFonts w:eastAsia="仿宋_GB2312"/>
                <w:sz w:val="28"/>
                <w:szCs w:val="32"/>
              </w:rPr>
              <w:t>减污降碳协同度提高率</w:t>
            </w:r>
          </w:p>
        </w:tc>
        <w:tc>
          <w:tcPr>
            <w:tcW w:w="1659" w:type="dxa"/>
            <w:tcBorders>
              <w:bottom w:val="single" w:color="auto" w:sz="4" w:space="0"/>
            </w:tcBorders>
            <w:vAlign w:val="center"/>
          </w:tcPr>
          <w:p>
            <w:pPr>
              <w:spacing w:line="600" w:lineRule="exact"/>
              <w:jc w:val="center"/>
              <w:rPr>
                <w:rFonts w:eastAsia="仿宋_GB2312"/>
                <w:sz w:val="28"/>
                <w:szCs w:val="32"/>
              </w:rPr>
            </w:pPr>
            <w:r>
              <w:rPr>
                <w:rFonts w:eastAsia="仿宋_GB2312"/>
                <w:sz w:val="28"/>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6" w:type="dxa"/>
            <w:vMerge w:val="restart"/>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eastAsia="仿宋_GB2312"/>
                <w:sz w:val="28"/>
                <w:szCs w:val="32"/>
              </w:rPr>
            </w:pPr>
            <w:r>
              <w:rPr>
                <w:rFonts w:eastAsia="仿宋_GB2312"/>
                <w:sz w:val="28"/>
                <w:szCs w:val="32"/>
              </w:rPr>
              <w:t>管理及制度</w:t>
            </w:r>
          </w:p>
        </w:tc>
        <w:tc>
          <w:tcPr>
            <w:tcW w:w="883"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600" w:lineRule="exact"/>
              <w:jc w:val="center"/>
              <w:rPr>
                <w:rFonts w:eastAsia="仿宋_GB2312"/>
                <w:sz w:val="28"/>
                <w:szCs w:val="32"/>
              </w:rPr>
            </w:pPr>
          </w:p>
        </w:tc>
        <w:tc>
          <w:tcPr>
            <w:tcW w:w="493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仿宋_GB2312"/>
                <w:sz w:val="28"/>
                <w:szCs w:val="32"/>
              </w:rPr>
            </w:pPr>
            <w:r>
              <w:rPr>
                <w:rFonts w:eastAsia="仿宋_GB2312"/>
                <w:sz w:val="28"/>
                <w:szCs w:val="32"/>
              </w:rPr>
              <w:t>智慧管理平台</w:t>
            </w:r>
          </w:p>
        </w:tc>
        <w:tc>
          <w:tcPr>
            <w:tcW w:w="165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仿宋_GB2312"/>
                <w:sz w:val="28"/>
                <w:szCs w:val="32"/>
              </w:rPr>
            </w:pPr>
            <w:r>
              <w:rPr>
                <w:rFonts w:eastAsia="仿宋_GB2312"/>
                <w:sz w:val="28"/>
                <w:szCs w:val="32"/>
              </w:rPr>
              <w:t>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56" w:type="dxa"/>
            <w:vMerge w:val="continue"/>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仿宋_GB2312"/>
                <w:sz w:val="28"/>
                <w:szCs w:val="32"/>
              </w:rPr>
            </w:pPr>
          </w:p>
        </w:tc>
        <w:tc>
          <w:tcPr>
            <w:tcW w:w="883"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600" w:lineRule="exact"/>
              <w:jc w:val="center"/>
              <w:rPr>
                <w:rFonts w:eastAsia="仿宋_GB2312"/>
                <w:sz w:val="28"/>
                <w:szCs w:val="32"/>
              </w:rPr>
            </w:pPr>
          </w:p>
        </w:tc>
        <w:tc>
          <w:tcPr>
            <w:tcW w:w="493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仿宋_GB2312"/>
                <w:sz w:val="28"/>
                <w:szCs w:val="32"/>
              </w:rPr>
            </w:pPr>
            <w:r>
              <w:rPr>
                <w:rFonts w:eastAsia="仿宋_GB2312"/>
                <w:sz w:val="28"/>
                <w:szCs w:val="32"/>
              </w:rPr>
              <w:t>碳排放核算体系及相关管理制度</w:t>
            </w:r>
          </w:p>
        </w:tc>
        <w:tc>
          <w:tcPr>
            <w:tcW w:w="165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eastAsia="仿宋_GB2312"/>
                <w:sz w:val="28"/>
                <w:szCs w:val="32"/>
              </w:rPr>
            </w:pPr>
            <w:r>
              <w:rPr>
                <w:rFonts w:eastAsia="仿宋_GB2312"/>
                <w:sz w:val="28"/>
                <w:szCs w:val="32"/>
              </w:rPr>
              <w:t>建立</w:t>
            </w:r>
          </w:p>
        </w:tc>
      </w:tr>
    </w:tbl>
    <w:p>
      <w:pPr>
        <w:keepNext/>
        <w:keepLines/>
        <w:numPr>
          <w:ilvl w:val="0"/>
          <w:numId w:val="2"/>
        </w:numPr>
        <w:spacing w:line="600" w:lineRule="exact"/>
        <w:ind w:firstLine="320" w:firstLineChars="100"/>
        <w:jc w:val="left"/>
        <w:outlineLvl w:val="0"/>
        <w:rPr>
          <w:rFonts w:ascii="黑体" w:hAnsi="黑体" w:eastAsia="黑体"/>
          <w:bCs/>
          <w:kern w:val="44"/>
          <w:sz w:val="32"/>
          <w:szCs w:val="32"/>
        </w:rPr>
      </w:pPr>
      <w:bookmarkStart w:id="4" w:name="_Toc167981326"/>
      <w:r>
        <w:rPr>
          <w:rFonts w:ascii="黑体" w:hAnsi="黑体" w:eastAsia="黑体"/>
          <w:bCs/>
          <w:kern w:val="44"/>
          <w:sz w:val="32"/>
          <w:szCs w:val="32"/>
        </w:rPr>
        <w:t>主要任务</w:t>
      </w:r>
      <w:bookmarkEnd w:id="4"/>
    </w:p>
    <w:p>
      <w:pPr>
        <w:spacing w:line="600" w:lineRule="exact"/>
        <w:ind w:firstLine="640" w:firstLineChars="200"/>
        <w:rPr>
          <w:rFonts w:eastAsia="仿宋_GB2312"/>
          <w:sz w:val="32"/>
          <w:szCs w:val="32"/>
        </w:rPr>
      </w:pPr>
      <w:r>
        <w:rPr>
          <w:rFonts w:eastAsia="仿宋_GB2312"/>
          <w:sz w:val="32"/>
          <w:szCs w:val="32"/>
        </w:rPr>
        <w:t>以北京市、朝阳区绿色低碳高质量发展目标为指引，结合朝阳区发展规划，创新园区</w:t>
      </w:r>
      <w:r>
        <w:rPr>
          <w:rFonts w:hint="eastAsia" w:eastAsia="仿宋_GB2312"/>
          <w:sz w:val="32"/>
          <w:szCs w:val="32"/>
        </w:rPr>
        <w:t>“</w:t>
      </w:r>
      <w:r>
        <w:rPr>
          <w:rFonts w:eastAsia="仿宋_GB2312"/>
          <w:sz w:val="32"/>
          <w:szCs w:val="32"/>
        </w:rPr>
        <w:t>补、塑、强、优、统、普</w:t>
      </w:r>
      <w:r>
        <w:rPr>
          <w:rFonts w:hint="eastAsia" w:eastAsia="仿宋_GB2312"/>
          <w:sz w:val="32"/>
          <w:szCs w:val="32"/>
        </w:rPr>
        <w:t>”</w:t>
      </w:r>
      <w:r>
        <w:rPr>
          <w:rFonts w:eastAsia="仿宋_GB2312"/>
          <w:sz w:val="32"/>
          <w:szCs w:val="32"/>
        </w:rPr>
        <w:t>产业链减污降碳协同模式，形成可复制可推广可借鉴的减污降碳协同增效经验，为城市绿色低碳发展提供新动能。</w:t>
      </w:r>
      <w:bookmarkStart w:id="5" w:name="_Toc167981327"/>
      <w:bookmarkStart w:id="6" w:name="_Toc142242747"/>
    </w:p>
    <w:p>
      <w:pPr>
        <w:keepNext/>
        <w:keepLines/>
        <w:spacing w:line="600" w:lineRule="exact"/>
        <w:ind w:left="643"/>
        <w:outlineLvl w:val="1"/>
        <w:rPr>
          <w:rFonts w:ascii="楷体_GB2312" w:eastAsia="楷体_GB2312"/>
          <w:b/>
          <w:bCs/>
          <w:sz w:val="32"/>
          <w:szCs w:val="32"/>
        </w:rPr>
      </w:pPr>
      <w:r>
        <w:rPr>
          <w:rFonts w:hint="eastAsia" w:ascii="楷体_GB2312" w:eastAsia="楷体_GB2312"/>
          <w:b/>
          <w:bCs/>
          <w:sz w:val="32"/>
          <w:szCs w:val="32"/>
        </w:rPr>
        <w:t>（一）基础补链—强弱项、补空白，扩充园区污碳减排容量</w:t>
      </w:r>
    </w:p>
    <w:p>
      <w:pPr>
        <w:keepNext/>
        <w:keepLines/>
        <w:numPr>
          <w:ilvl w:val="2"/>
          <w:numId w:val="0"/>
        </w:numPr>
        <w:spacing w:line="600" w:lineRule="exact"/>
        <w:ind w:left="420" w:leftChars="200" w:firstLine="321" w:firstLineChars="100"/>
        <w:jc w:val="left"/>
        <w:outlineLvl w:val="2"/>
        <w:rPr>
          <w:rFonts w:eastAsia="仿宋_GB2312"/>
          <w:b/>
          <w:bCs/>
          <w:sz w:val="32"/>
          <w:szCs w:val="32"/>
        </w:rPr>
      </w:pPr>
      <w:r>
        <w:rPr>
          <w:rFonts w:eastAsia="仿宋_GB2312"/>
          <w:b/>
          <w:bCs/>
          <w:sz w:val="32"/>
          <w:szCs w:val="32"/>
        </w:rPr>
        <w:t>1.提高城市运行保障能力</w:t>
      </w:r>
    </w:p>
    <w:p>
      <w:pPr>
        <w:spacing w:line="600" w:lineRule="exact"/>
        <w:ind w:firstLine="640" w:firstLineChars="200"/>
        <w:rPr>
          <w:rFonts w:eastAsia="仿宋_GB2312"/>
          <w:sz w:val="32"/>
          <w:szCs w:val="32"/>
        </w:rPr>
      </w:pPr>
      <w:r>
        <w:rPr>
          <w:rFonts w:eastAsia="仿宋_GB2312"/>
          <w:sz w:val="32"/>
          <w:szCs w:val="32"/>
        </w:rPr>
        <w:t>按照科学评估、适度超前的原则，稳妥有序推进厨余垃圾处理项目、焚烧项目等新建垃圾处理设施项目建设。开展800t/d厨余垃圾处理项目建设，解决朝阳区厨余垃圾处理能力不足的短板问题，推进2400t/d焚烧项目规划建设，助力提高市、区两级城市生活垃圾焚烧处理能力比例，提高城市垃圾处理设施覆盖水平和城市运行保障能力。到2026年，提高垃圾处理能力3000t/d。</w:t>
      </w:r>
    </w:p>
    <w:p>
      <w:pPr>
        <w:keepNext/>
        <w:keepLines/>
        <w:numPr>
          <w:ilvl w:val="2"/>
          <w:numId w:val="0"/>
        </w:numPr>
        <w:spacing w:line="600" w:lineRule="exact"/>
        <w:ind w:left="420" w:leftChars="200" w:firstLine="321" w:firstLineChars="100"/>
        <w:jc w:val="left"/>
        <w:outlineLvl w:val="2"/>
        <w:rPr>
          <w:rFonts w:eastAsia="仿宋_GB2312"/>
          <w:b/>
          <w:bCs/>
          <w:sz w:val="32"/>
          <w:szCs w:val="32"/>
        </w:rPr>
      </w:pPr>
      <w:r>
        <w:rPr>
          <w:rFonts w:eastAsia="仿宋_GB2312"/>
          <w:b/>
          <w:bCs/>
          <w:sz w:val="32"/>
          <w:szCs w:val="32"/>
        </w:rPr>
        <w:t>2.提升现有设施处理能力</w:t>
      </w:r>
    </w:p>
    <w:p>
      <w:pPr>
        <w:spacing w:line="600" w:lineRule="exact"/>
        <w:ind w:firstLine="640" w:firstLineChars="200"/>
        <w:rPr>
          <w:rFonts w:eastAsia="仿宋_GB2312"/>
          <w:sz w:val="32"/>
          <w:szCs w:val="32"/>
        </w:rPr>
      </w:pPr>
      <w:r>
        <w:rPr>
          <w:rFonts w:eastAsia="仿宋_GB2312"/>
          <w:sz w:val="32"/>
          <w:szCs w:val="32"/>
        </w:rPr>
        <w:t>全面排查评估园区现有渗沥液工程建设情况、沼气发电设施运行状况和污染物排放情况，按照园区高质量发展要求，通过渗沥液提标技改，建立</w:t>
      </w:r>
      <w:r>
        <w:rPr>
          <w:rFonts w:hint="eastAsia" w:eastAsia="仿宋_GB2312"/>
          <w:sz w:val="32"/>
          <w:szCs w:val="32"/>
        </w:rPr>
        <w:t>“</w:t>
      </w:r>
      <w:r>
        <w:rPr>
          <w:rFonts w:eastAsia="仿宋_GB2312"/>
          <w:sz w:val="32"/>
          <w:szCs w:val="32"/>
        </w:rPr>
        <w:t>增产降新</w:t>
      </w:r>
      <w:r>
        <w:rPr>
          <w:rFonts w:hint="eastAsia" w:eastAsia="仿宋_GB2312"/>
          <w:sz w:val="32"/>
          <w:szCs w:val="32"/>
        </w:rPr>
        <w:t>”</w:t>
      </w:r>
      <w:r>
        <w:rPr>
          <w:rFonts w:eastAsia="仿宋_GB2312"/>
          <w:sz w:val="32"/>
          <w:szCs w:val="32"/>
        </w:rPr>
        <w:t>再生水供、用方式，提高园区渗沥液综合处理能力和再生水供应能力。开展沼气综合利用改造工程，提高园区沼气处理能力。到2026年，实现渗沥液综合处理能力达到1800m</w:t>
      </w:r>
      <w:r>
        <w:rPr>
          <w:rFonts w:eastAsia="仿宋_GB2312"/>
          <w:sz w:val="32"/>
          <w:szCs w:val="32"/>
          <w:vertAlign w:val="superscript"/>
        </w:rPr>
        <w:t>3</w:t>
      </w:r>
      <w:r>
        <w:rPr>
          <w:rFonts w:eastAsia="仿宋_GB2312"/>
          <w:sz w:val="32"/>
          <w:szCs w:val="32"/>
        </w:rPr>
        <w:t>/d，沼气处理能力达到5万Nm</w:t>
      </w:r>
      <w:r>
        <w:rPr>
          <w:rFonts w:eastAsia="仿宋_GB2312"/>
          <w:sz w:val="32"/>
          <w:szCs w:val="32"/>
          <w:vertAlign w:val="superscript"/>
        </w:rPr>
        <w:t>3</w:t>
      </w:r>
      <w:r>
        <w:rPr>
          <w:rFonts w:eastAsia="仿宋_GB2312"/>
          <w:sz w:val="32"/>
          <w:szCs w:val="32"/>
        </w:rPr>
        <w:t>/d。</w:t>
      </w:r>
    </w:p>
    <w:p>
      <w:pPr>
        <w:keepNext/>
        <w:keepLines/>
        <w:numPr>
          <w:ilvl w:val="1"/>
          <w:numId w:val="0"/>
        </w:numPr>
        <w:spacing w:line="600" w:lineRule="exact"/>
        <w:ind w:firstLine="643" w:firstLineChars="200"/>
        <w:outlineLvl w:val="1"/>
        <w:rPr>
          <w:rFonts w:ascii="楷体_GB2312" w:eastAsia="楷体_GB2312"/>
          <w:b/>
          <w:bCs/>
          <w:sz w:val="32"/>
          <w:szCs w:val="32"/>
        </w:rPr>
      </w:pPr>
      <w:r>
        <w:rPr>
          <w:rFonts w:hint="eastAsia" w:ascii="楷体_GB2312" w:eastAsia="楷体_GB2312"/>
          <w:b/>
          <w:bCs/>
          <w:sz w:val="32"/>
          <w:szCs w:val="32"/>
        </w:rPr>
        <w:t>（二）协同塑链—延长度、强协同，增强园区污碳协同路径</w:t>
      </w:r>
    </w:p>
    <w:p>
      <w:pPr>
        <w:keepNext/>
        <w:keepLines/>
        <w:numPr>
          <w:ilvl w:val="2"/>
          <w:numId w:val="0"/>
        </w:numPr>
        <w:spacing w:line="600" w:lineRule="exact"/>
        <w:ind w:left="420" w:leftChars="200" w:firstLine="321" w:firstLineChars="100"/>
        <w:jc w:val="left"/>
        <w:outlineLvl w:val="2"/>
        <w:rPr>
          <w:rFonts w:eastAsia="仿宋_GB2312"/>
          <w:b/>
          <w:bCs/>
          <w:sz w:val="32"/>
          <w:szCs w:val="32"/>
        </w:rPr>
      </w:pPr>
      <w:r>
        <w:rPr>
          <w:rFonts w:eastAsia="仿宋_GB2312"/>
          <w:b/>
          <w:bCs/>
          <w:sz w:val="32"/>
          <w:szCs w:val="32"/>
        </w:rPr>
        <w:t>1.延伸园区循环利用产业链</w:t>
      </w:r>
    </w:p>
    <w:p>
      <w:pPr>
        <w:spacing w:line="600" w:lineRule="exact"/>
        <w:ind w:firstLine="640" w:firstLineChars="200"/>
        <w:rPr>
          <w:rFonts w:eastAsia="仿宋_GB2312"/>
          <w:sz w:val="32"/>
          <w:szCs w:val="32"/>
        </w:rPr>
      </w:pPr>
      <w:r>
        <w:rPr>
          <w:rFonts w:eastAsia="仿宋_GB2312"/>
          <w:sz w:val="32"/>
          <w:szCs w:val="32"/>
        </w:rPr>
        <w:t>以设施升级为抓手，延伸产业链条长度。开展沼气综合利用改造工程，打破</w:t>
      </w:r>
      <w:r>
        <w:rPr>
          <w:rFonts w:hint="eastAsia" w:eastAsia="仿宋_GB2312"/>
          <w:sz w:val="32"/>
          <w:szCs w:val="32"/>
        </w:rPr>
        <w:t>“</w:t>
      </w:r>
      <w:r>
        <w:rPr>
          <w:rFonts w:eastAsia="仿宋_GB2312"/>
          <w:sz w:val="32"/>
          <w:szCs w:val="32"/>
        </w:rPr>
        <w:t>终于沼气</w:t>
      </w:r>
      <w:r>
        <w:rPr>
          <w:rFonts w:hint="eastAsia" w:eastAsia="仿宋_GB2312"/>
          <w:sz w:val="32"/>
          <w:szCs w:val="32"/>
        </w:rPr>
        <w:t>”</w:t>
      </w:r>
      <w:r>
        <w:rPr>
          <w:rFonts w:eastAsia="仿宋_GB2312"/>
          <w:sz w:val="32"/>
          <w:szCs w:val="32"/>
        </w:rPr>
        <w:t>的短链，实现沼气利用链条进一步延伸，变沼气为电力或可燃气，增加园区及园区外部绿色能源供给。以园区资源能源高效循环利用为起</w:t>
      </w:r>
      <w:r>
        <w:rPr>
          <w:rFonts w:hint="eastAsia" w:eastAsia="仿宋_GB2312"/>
          <w:sz w:val="32"/>
          <w:szCs w:val="32"/>
        </w:rPr>
        <w:t>“</w:t>
      </w:r>
      <w:r>
        <w:rPr>
          <w:rFonts w:eastAsia="仿宋_GB2312"/>
          <w:sz w:val="32"/>
          <w:szCs w:val="32"/>
        </w:rPr>
        <w:t>点</w:t>
      </w:r>
      <w:r>
        <w:rPr>
          <w:rFonts w:hint="eastAsia" w:eastAsia="仿宋_GB2312"/>
          <w:sz w:val="32"/>
          <w:szCs w:val="32"/>
        </w:rPr>
        <w:t>”</w:t>
      </w:r>
      <w:r>
        <w:rPr>
          <w:rFonts w:eastAsia="仿宋_GB2312"/>
          <w:sz w:val="32"/>
          <w:szCs w:val="32"/>
        </w:rPr>
        <w:t>，建立辐射周边的</w:t>
      </w:r>
      <w:r>
        <w:rPr>
          <w:rFonts w:hint="eastAsia" w:eastAsia="仿宋_GB2312"/>
          <w:sz w:val="32"/>
          <w:szCs w:val="32"/>
        </w:rPr>
        <w:t>“</w:t>
      </w:r>
      <w:r>
        <w:rPr>
          <w:rFonts w:eastAsia="仿宋_GB2312"/>
          <w:sz w:val="32"/>
          <w:szCs w:val="32"/>
        </w:rPr>
        <w:t>垃圾-可再生能源、建筑垃圾-再生原料</w:t>
      </w:r>
      <w:r>
        <w:rPr>
          <w:rFonts w:hint="eastAsia" w:eastAsia="仿宋_GB2312"/>
          <w:sz w:val="32"/>
          <w:szCs w:val="32"/>
        </w:rPr>
        <w:t>”</w:t>
      </w:r>
      <w:r>
        <w:rPr>
          <w:rFonts w:eastAsia="仿宋_GB2312"/>
          <w:sz w:val="32"/>
          <w:szCs w:val="32"/>
        </w:rPr>
        <w:t>等链</w:t>
      </w:r>
      <w:r>
        <w:rPr>
          <w:rFonts w:hint="eastAsia" w:eastAsia="仿宋_GB2312"/>
          <w:sz w:val="32"/>
          <w:szCs w:val="32"/>
        </w:rPr>
        <w:t>“</w:t>
      </w:r>
      <w:r>
        <w:rPr>
          <w:rFonts w:eastAsia="仿宋_GB2312"/>
          <w:sz w:val="32"/>
          <w:szCs w:val="32"/>
        </w:rPr>
        <w:t>线</w:t>
      </w:r>
      <w:r>
        <w:rPr>
          <w:rFonts w:hint="eastAsia" w:eastAsia="仿宋_GB2312"/>
          <w:sz w:val="32"/>
          <w:szCs w:val="32"/>
        </w:rPr>
        <w:t>”</w:t>
      </w:r>
      <w:r>
        <w:rPr>
          <w:rFonts w:eastAsia="仿宋_GB2312"/>
          <w:sz w:val="32"/>
          <w:szCs w:val="32"/>
        </w:rPr>
        <w:t>，形成带动区域发展协同的局</w:t>
      </w:r>
      <w:r>
        <w:rPr>
          <w:rFonts w:hint="eastAsia" w:eastAsia="仿宋_GB2312"/>
          <w:sz w:val="32"/>
          <w:szCs w:val="32"/>
        </w:rPr>
        <w:t>“</w:t>
      </w:r>
      <w:r>
        <w:rPr>
          <w:rFonts w:eastAsia="仿宋_GB2312"/>
          <w:sz w:val="32"/>
          <w:szCs w:val="32"/>
        </w:rPr>
        <w:t>面</w:t>
      </w:r>
      <w:r>
        <w:rPr>
          <w:rFonts w:hint="eastAsia" w:eastAsia="仿宋_GB2312"/>
          <w:sz w:val="32"/>
          <w:szCs w:val="32"/>
        </w:rPr>
        <w:t>”</w:t>
      </w:r>
      <w:r>
        <w:rPr>
          <w:rFonts w:eastAsia="仿宋_GB2312"/>
          <w:sz w:val="32"/>
          <w:szCs w:val="32"/>
        </w:rPr>
        <w:t>，构建</w:t>
      </w:r>
      <w:r>
        <w:rPr>
          <w:rFonts w:hint="eastAsia" w:eastAsia="仿宋_GB2312"/>
          <w:sz w:val="32"/>
          <w:szCs w:val="32"/>
        </w:rPr>
        <w:t>“</w:t>
      </w:r>
      <w:r>
        <w:rPr>
          <w:rFonts w:eastAsia="仿宋_GB2312"/>
          <w:sz w:val="32"/>
          <w:szCs w:val="32"/>
        </w:rPr>
        <w:t>点上试、线上推、面上联</w:t>
      </w:r>
      <w:r>
        <w:rPr>
          <w:rFonts w:hint="eastAsia" w:eastAsia="仿宋_GB2312"/>
          <w:sz w:val="32"/>
          <w:szCs w:val="32"/>
        </w:rPr>
        <w:t>”</w:t>
      </w:r>
      <w:r>
        <w:rPr>
          <w:rFonts w:eastAsia="仿宋_GB2312"/>
          <w:sz w:val="32"/>
          <w:szCs w:val="32"/>
        </w:rPr>
        <w:t>的外部辐射带动格局。通过餐厨垃圾处理、建筑垃圾处理、垃圾焚烧、沼气综合利用等产业资源能源产用路径，建成</w:t>
      </w:r>
      <w:r>
        <w:rPr>
          <w:rFonts w:hint="eastAsia" w:eastAsia="仿宋_GB2312"/>
          <w:sz w:val="32"/>
          <w:szCs w:val="32"/>
        </w:rPr>
        <w:t>“</w:t>
      </w:r>
      <w:r>
        <w:rPr>
          <w:rFonts w:eastAsia="仿宋_GB2312"/>
          <w:sz w:val="32"/>
          <w:szCs w:val="32"/>
        </w:rPr>
        <w:t>垃圾-绿电、热力、可燃气、再生建材</w:t>
      </w:r>
      <w:r>
        <w:rPr>
          <w:rFonts w:hint="eastAsia" w:eastAsia="仿宋_GB2312"/>
          <w:sz w:val="32"/>
          <w:szCs w:val="32"/>
        </w:rPr>
        <w:t>”</w:t>
      </w:r>
      <w:r>
        <w:rPr>
          <w:rFonts w:eastAsia="仿宋_GB2312"/>
          <w:sz w:val="32"/>
          <w:szCs w:val="32"/>
        </w:rPr>
        <w:t>多元化物质能源链条，向园区外部供应再生产品、绿电等资源能源，建立</w:t>
      </w:r>
      <w:r>
        <w:rPr>
          <w:rFonts w:hint="eastAsia" w:eastAsia="仿宋_GB2312"/>
          <w:sz w:val="32"/>
          <w:szCs w:val="32"/>
        </w:rPr>
        <w:t>“</w:t>
      </w:r>
      <w:r>
        <w:rPr>
          <w:rFonts w:eastAsia="仿宋_GB2312"/>
          <w:sz w:val="32"/>
          <w:szCs w:val="32"/>
        </w:rPr>
        <w:t>企业小循环，园区中循环，区域大循环</w:t>
      </w:r>
      <w:r>
        <w:rPr>
          <w:rFonts w:hint="eastAsia" w:eastAsia="仿宋_GB2312"/>
          <w:sz w:val="32"/>
          <w:szCs w:val="32"/>
        </w:rPr>
        <w:t>”</w:t>
      </w:r>
      <w:r>
        <w:rPr>
          <w:rFonts w:eastAsia="仿宋_GB2312"/>
          <w:sz w:val="32"/>
          <w:szCs w:val="32"/>
        </w:rPr>
        <w:t>的</w:t>
      </w:r>
      <w:r>
        <w:rPr>
          <w:rFonts w:hint="eastAsia" w:eastAsia="仿宋_GB2312"/>
          <w:sz w:val="32"/>
          <w:szCs w:val="32"/>
        </w:rPr>
        <w:t>“</w:t>
      </w:r>
      <w:r>
        <w:rPr>
          <w:rFonts w:eastAsia="仿宋_GB2312"/>
          <w:sz w:val="32"/>
          <w:szCs w:val="32"/>
        </w:rPr>
        <w:t>同心圆</w:t>
      </w:r>
      <w:r>
        <w:rPr>
          <w:rFonts w:hint="eastAsia" w:eastAsia="仿宋_GB2312"/>
          <w:sz w:val="32"/>
          <w:szCs w:val="32"/>
        </w:rPr>
        <w:t>”</w:t>
      </w:r>
      <w:r>
        <w:rPr>
          <w:rFonts w:eastAsia="仿宋_GB2312"/>
          <w:sz w:val="32"/>
          <w:szCs w:val="32"/>
        </w:rPr>
        <w:t>减污降碳区域协同创新模式。到2026年，实现减污降碳协同度提高5%。</w:t>
      </w:r>
    </w:p>
    <w:p>
      <w:pPr>
        <w:keepNext/>
        <w:keepLines/>
        <w:numPr>
          <w:ilvl w:val="2"/>
          <w:numId w:val="0"/>
        </w:numPr>
        <w:spacing w:line="600" w:lineRule="exact"/>
        <w:ind w:left="420" w:leftChars="200" w:firstLine="321" w:firstLineChars="100"/>
        <w:jc w:val="left"/>
        <w:outlineLvl w:val="2"/>
        <w:rPr>
          <w:rFonts w:eastAsia="仿宋_GB2312"/>
          <w:b/>
          <w:bCs/>
          <w:sz w:val="32"/>
          <w:szCs w:val="32"/>
        </w:rPr>
      </w:pPr>
      <w:r>
        <w:rPr>
          <w:rFonts w:eastAsia="仿宋_GB2312"/>
          <w:b/>
          <w:bCs/>
          <w:sz w:val="32"/>
          <w:szCs w:val="32"/>
        </w:rPr>
        <w:t>2.增强园区综合利用协同度</w:t>
      </w:r>
    </w:p>
    <w:p>
      <w:pPr>
        <w:spacing w:line="600" w:lineRule="exact"/>
        <w:ind w:firstLine="640" w:firstLineChars="200"/>
        <w:rPr>
          <w:rFonts w:eastAsia="仿宋_GB2312"/>
          <w:sz w:val="32"/>
          <w:szCs w:val="32"/>
        </w:rPr>
      </w:pPr>
      <w:r>
        <w:rPr>
          <w:rFonts w:eastAsia="仿宋_GB2312"/>
          <w:sz w:val="32"/>
          <w:szCs w:val="32"/>
        </w:rPr>
        <w:t>全面促进园区</w:t>
      </w:r>
      <w:r>
        <w:rPr>
          <w:rFonts w:hint="eastAsia" w:eastAsia="仿宋_GB2312"/>
          <w:sz w:val="32"/>
          <w:szCs w:val="32"/>
        </w:rPr>
        <w:t>“</w:t>
      </w:r>
      <w:r>
        <w:rPr>
          <w:rFonts w:eastAsia="仿宋_GB2312"/>
          <w:sz w:val="32"/>
          <w:szCs w:val="32"/>
        </w:rPr>
        <w:t>物质协同、能源协同、水协同</w:t>
      </w:r>
      <w:r>
        <w:rPr>
          <w:rFonts w:hint="eastAsia" w:eastAsia="仿宋_GB2312"/>
          <w:sz w:val="32"/>
          <w:szCs w:val="32"/>
        </w:rPr>
        <w:t>”</w:t>
      </w:r>
      <w:r>
        <w:rPr>
          <w:rFonts w:eastAsia="仿宋_GB2312"/>
          <w:sz w:val="32"/>
          <w:szCs w:val="32"/>
        </w:rPr>
        <w:t>多元协同，增强园区产业间协同强度。通过开展生活垃圾焚烧产业协同处置厨余垃圾沼渣、残渣，提高园区物质协同能力；通过将餐厨垃圾处理厂、厨余垃圾处理厂、卫生填埋场产生的沼气</w:t>
      </w:r>
      <w:r>
        <w:rPr>
          <w:rFonts w:hint="eastAsia" w:eastAsia="仿宋_GB2312"/>
          <w:sz w:val="32"/>
          <w:szCs w:val="32"/>
        </w:rPr>
        <w:t>“</w:t>
      </w:r>
      <w:r>
        <w:rPr>
          <w:rFonts w:eastAsia="仿宋_GB2312"/>
          <w:sz w:val="32"/>
          <w:szCs w:val="32"/>
        </w:rPr>
        <w:t>多源配比、多相协同</w:t>
      </w:r>
      <w:r>
        <w:rPr>
          <w:rFonts w:hint="eastAsia" w:eastAsia="仿宋_GB2312"/>
          <w:sz w:val="32"/>
          <w:szCs w:val="32"/>
        </w:rPr>
        <w:t>”</w:t>
      </w:r>
      <w:r>
        <w:rPr>
          <w:rFonts w:eastAsia="仿宋_GB2312"/>
          <w:sz w:val="32"/>
          <w:szCs w:val="32"/>
        </w:rPr>
        <w:t>，提升沼气综合利用稳定性，实现沼气能源性转化输出供给园区内外，加强园区能源协同能力；推进餐厨垃圾处理厂、清洁焚烧中心、卫生填埋场渗沥液</w:t>
      </w:r>
      <w:r>
        <w:rPr>
          <w:rFonts w:hint="eastAsia" w:eastAsia="仿宋_GB2312"/>
          <w:sz w:val="32"/>
          <w:szCs w:val="32"/>
        </w:rPr>
        <w:t>“</w:t>
      </w:r>
      <w:r>
        <w:rPr>
          <w:rFonts w:eastAsia="仿宋_GB2312"/>
          <w:sz w:val="32"/>
          <w:szCs w:val="32"/>
        </w:rPr>
        <w:t>三源混合</w:t>
      </w:r>
      <w:r>
        <w:rPr>
          <w:rFonts w:hint="eastAsia" w:eastAsia="仿宋_GB2312"/>
          <w:sz w:val="32"/>
          <w:szCs w:val="32"/>
        </w:rPr>
        <w:t>”</w:t>
      </w:r>
      <w:r>
        <w:rPr>
          <w:rFonts w:eastAsia="仿宋_GB2312"/>
          <w:sz w:val="32"/>
          <w:szCs w:val="32"/>
        </w:rPr>
        <w:t>，优化水质碳氮比，实现园区</w:t>
      </w:r>
      <w:r>
        <w:rPr>
          <w:rFonts w:hint="eastAsia" w:eastAsia="仿宋_GB2312"/>
          <w:sz w:val="32"/>
          <w:szCs w:val="32"/>
        </w:rPr>
        <w:t>“</w:t>
      </w:r>
      <w:r>
        <w:rPr>
          <w:rFonts w:eastAsia="仿宋_GB2312"/>
          <w:sz w:val="32"/>
          <w:szCs w:val="32"/>
        </w:rPr>
        <w:t>污水</w:t>
      </w:r>
      <w:r>
        <w:rPr>
          <w:rFonts w:hint="eastAsia" w:eastAsia="仿宋_GB2312"/>
          <w:sz w:val="32"/>
          <w:szCs w:val="32"/>
        </w:rPr>
        <w:t>”</w:t>
      </w:r>
      <w:r>
        <w:rPr>
          <w:rFonts w:eastAsia="仿宋_GB2312"/>
          <w:sz w:val="32"/>
          <w:szCs w:val="32"/>
        </w:rPr>
        <w:t>变</w:t>
      </w:r>
      <w:r>
        <w:rPr>
          <w:rFonts w:hint="eastAsia" w:eastAsia="仿宋_GB2312"/>
          <w:sz w:val="32"/>
          <w:szCs w:val="32"/>
        </w:rPr>
        <w:t>“</w:t>
      </w:r>
      <w:r>
        <w:rPr>
          <w:rFonts w:eastAsia="仿宋_GB2312"/>
          <w:sz w:val="32"/>
          <w:szCs w:val="32"/>
        </w:rPr>
        <w:t>中水</w:t>
      </w:r>
      <w:r>
        <w:rPr>
          <w:rFonts w:hint="eastAsia" w:eastAsia="仿宋_GB2312"/>
          <w:sz w:val="32"/>
          <w:szCs w:val="32"/>
        </w:rPr>
        <w:t>”</w:t>
      </w:r>
      <w:r>
        <w:rPr>
          <w:rFonts w:eastAsia="仿宋_GB2312"/>
          <w:sz w:val="32"/>
          <w:szCs w:val="32"/>
        </w:rPr>
        <w:t>，提升园区水协同能力。到2026年，实现园区沼渣、残渣等协同处理量达14万t/a，工业用水重复利用率达到95%。</w:t>
      </w:r>
    </w:p>
    <w:p>
      <w:pPr>
        <w:keepNext/>
        <w:keepLines/>
        <w:numPr>
          <w:ilvl w:val="1"/>
          <w:numId w:val="0"/>
        </w:numPr>
        <w:spacing w:line="600" w:lineRule="exact"/>
        <w:ind w:firstLine="643" w:firstLineChars="200"/>
        <w:outlineLvl w:val="1"/>
        <w:rPr>
          <w:rFonts w:ascii="楷体_GB2312" w:eastAsia="楷体_GB2312"/>
          <w:b/>
          <w:bCs/>
          <w:sz w:val="32"/>
          <w:szCs w:val="32"/>
        </w:rPr>
      </w:pPr>
      <w:r>
        <w:rPr>
          <w:rFonts w:hint="eastAsia" w:ascii="楷体_GB2312" w:eastAsia="楷体_GB2312"/>
          <w:b/>
          <w:bCs/>
          <w:sz w:val="32"/>
          <w:szCs w:val="32"/>
        </w:rPr>
        <w:t>（三）技术强链—抓创新、破节点，提升园区污碳协同效能</w:t>
      </w:r>
    </w:p>
    <w:p>
      <w:pPr>
        <w:keepNext/>
        <w:keepLines/>
        <w:numPr>
          <w:ilvl w:val="2"/>
          <w:numId w:val="0"/>
        </w:numPr>
        <w:spacing w:line="600" w:lineRule="exact"/>
        <w:ind w:left="420" w:leftChars="200" w:firstLine="321" w:firstLineChars="100"/>
        <w:jc w:val="left"/>
        <w:outlineLvl w:val="2"/>
        <w:rPr>
          <w:rFonts w:eastAsia="仿宋_GB2312"/>
          <w:b/>
          <w:bCs/>
          <w:sz w:val="32"/>
          <w:szCs w:val="32"/>
        </w:rPr>
      </w:pPr>
      <w:r>
        <w:rPr>
          <w:rFonts w:eastAsia="仿宋_GB2312"/>
          <w:b/>
          <w:bCs/>
          <w:sz w:val="32"/>
          <w:szCs w:val="32"/>
        </w:rPr>
        <w:t>1.改进工艺过程优化技术</w:t>
      </w:r>
    </w:p>
    <w:p>
      <w:pPr>
        <w:spacing w:line="600" w:lineRule="exact"/>
        <w:ind w:firstLine="640" w:firstLineChars="200"/>
        <w:jc w:val="left"/>
        <w:rPr>
          <w:rFonts w:eastAsia="仿宋_GB2312"/>
          <w:strike/>
          <w:sz w:val="32"/>
          <w:szCs w:val="32"/>
        </w:rPr>
      </w:pPr>
      <w:r>
        <w:rPr>
          <w:rFonts w:eastAsia="仿宋_GB2312"/>
          <w:sz w:val="32"/>
          <w:szCs w:val="32"/>
        </w:rPr>
        <w:t>围绕固废处理、资源化利用、新能源开发等重点领域，推动全流程工艺优化，突破技术创新，实现固废处理过程降碳增效。开展厨余垃圾预处理、厌氧发酵和固液分离等全过程处理工艺技术研究，提高厌氧发酵产气效率和资源化回收率；优化厨余沼液处理技术，实现氨氮回收率高于99%，COD 排放减少88%。开展垃圾焚烧产业余热锅炉水力清灰技术研究，增加蒸发量，提升锅炉换热效率，提高锅炉蒸发量约1.7t/h。开展沼气稳压控制净化技术和脱硫控制设计研究，提升沼气净化安全性和脱硫效率。开展建筑垃圾资源化利用技术路径研究和可持续全生命周期评价，形成建筑垃圾全量利用方案。到2026年，累计形成工艺过程优化技术发明专利成果5项。</w:t>
      </w:r>
    </w:p>
    <w:p>
      <w:pPr>
        <w:keepNext/>
        <w:keepLines/>
        <w:numPr>
          <w:ilvl w:val="2"/>
          <w:numId w:val="0"/>
        </w:numPr>
        <w:spacing w:line="600" w:lineRule="exact"/>
        <w:ind w:left="420" w:leftChars="200" w:firstLine="321" w:firstLineChars="100"/>
        <w:jc w:val="left"/>
        <w:outlineLvl w:val="2"/>
        <w:rPr>
          <w:rFonts w:eastAsia="仿宋_GB2312"/>
          <w:b/>
          <w:bCs/>
          <w:sz w:val="32"/>
          <w:szCs w:val="32"/>
        </w:rPr>
      </w:pPr>
      <w:r>
        <w:rPr>
          <w:rFonts w:eastAsia="仿宋_GB2312"/>
          <w:b/>
          <w:bCs/>
          <w:sz w:val="32"/>
          <w:szCs w:val="32"/>
        </w:rPr>
        <w:t>2.突破资源化利用技术</w:t>
      </w:r>
    </w:p>
    <w:p>
      <w:pPr>
        <w:spacing w:line="600" w:lineRule="exact"/>
        <w:ind w:firstLine="640" w:firstLineChars="200"/>
        <w:rPr>
          <w:rFonts w:eastAsia="仿宋_GB2312"/>
          <w:sz w:val="32"/>
          <w:szCs w:val="32"/>
        </w:rPr>
      </w:pPr>
      <w:r>
        <w:rPr>
          <w:rFonts w:eastAsia="仿宋_GB2312"/>
          <w:sz w:val="32"/>
          <w:szCs w:val="32"/>
        </w:rPr>
        <w:t>围绕餐厨/厨余垃圾、可回收物、大件垃圾等重点领域，开展资源化利用工艺技术研究，提升资源化利用水平。重点推进餐厨垃圾项目提油技术升级改造，增加餐厨垃圾提油率，实现餐厨垃圾提油率提升0.4个百分点，减碳效应约1600t。开展园区厨余垃圾等重点产业有机固渣等资源化利用技术研究，提升固废资源化利用效率。开展厨余垃圾有机固渣高质化利用技术研究，探索厨余有机固渣液化技术和厨余固渣制取生物蛋白技术，研发厨余垃圾有机固渣液化制取固体燃料技术。研究大件垃圾资源化处理技术，探索物理回收法高值化利用路径。到2026年，形成3套厨余垃圾、大件垃圾资源化利用成套技术。</w:t>
      </w:r>
    </w:p>
    <w:p>
      <w:pPr>
        <w:keepNext/>
        <w:keepLines/>
        <w:numPr>
          <w:ilvl w:val="2"/>
          <w:numId w:val="0"/>
        </w:numPr>
        <w:spacing w:line="600" w:lineRule="exact"/>
        <w:ind w:left="420" w:leftChars="200" w:firstLine="321" w:firstLineChars="100"/>
        <w:jc w:val="left"/>
        <w:outlineLvl w:val="2"/>
        <w:rPr>
          <w:rFonts w:eastAsia="仿宋_GB2312"/>
          <w:b/>
          <w:bCs/>
          <w:sz w:val="32"/>
          <w:szCs w:val="32"/>
        </w:rPr>
      </w:pPr>
      <w:r>
        <w:rPr>
          <w:rFonts w:eastAsia="仿宋_GB2312"/>
          <w:b/>
          <w:bCs/>
          <w:sz w:val="32"/>
          <w:szCs w:val="32"/>
        </w:rPr>
        <w:t>3.提升污染控制技术</w:t>
      </w:r>
    </w:p>
    <w:p>
      <w:pPr>
        <w:spacing w:line="600" w:lineRule="exact"/>
        <w:ind w:firstLine="643"/>
        <w:rPr>
          <w:rFonts w:eastAsia="仿宋_GB2312"/>
          <w:sz w:val="32"/>
          <w:szCs w:val="32"/>
        </w:rPr>
      </w:pPr>
      <w:r>
        <w:rPr>
          <w:rFonts w:eastAsia="仿宋_GB2312"/>
          <w:sz w:val="32"/>
          <w:szCs w:val="32"/>
        </w:rPr>
        <w:t>围绕垃圾焚烧等重点领域，开展末端污染控制技术研究，提升污染控制能力。焚烧项目通过引入再循环技术及循环干法工艺，实现锅炉效率和发电效率提升，原材料使用量和能耗减少，污染物排放大幅下降，其中SO</w:t>
      </w:r>
      <w:r>
        <w:rPr>
          <w:rFonts w:eastAsia="仿宋_GB2312"/>
          <w:sz w:val="32"/>
          <w:szCs w:val="32"/>
          <w:vertAlign w:val="subscript"/>
        </w:rPr>
        <w:t>2</w:t>
      </w:r>
      <w:r>
        <w:rPr>
          <w:rFonts w:eastAsia="仿宋_GB2312"/>
          <w:sz w:val="32"/>
          <w:szCs w:val="32"/>
        </w:rPr>
        <w:t>和NO</w:t>
      </w:r>
      <w:r>
        <w:rPr>
          <w:rFonts w:eastAsia="仿宋_GB2312"/>
          <w:sz w:val="32"/>
          <w:szCs w:val="32"/>
          <w:vertAlign w:val="subscript"/>
        </w:rPr>
        <w:t>X</w:t>
      </w:r>
      <w:r>
        <w:rPr>
          <w:rFonts w:eastAsia="仿宋_GB2312"/>
          <w:sz w:val="32"/>
          <w:szCs w:val="32"/>
        </w:rPr>
        <w:t>日均排放浓度低于国家标准20%。开展焚烧协同处理有机固渣、盐泥技术研究，探索有机固渣、盐泥焚烧协同直喷处理的可行性和有效性。开展焚烧协同处理污泥技术研究，开展垃圾焚烧协同处理污泥掺烧比例和运行工况控制技术研究，实现协同处理的安全性、稳定性和经济性。开展垃圾焚烧产业飞灰资源化利用研究，探索飞灰资源化利用生产无机材料和工业盐类。到2026年，形成相关技术成果3项。</w:t>
      </w:r>
    </w:p>
    <w:p>
      <w:pPr>
        <w:keepNext/>
        <w:keepLines/>
        <w:numPr>
          <w:ilvl w:val="2"/>
          <w:numId w:val="0"/>
        </w:numPr>
        <w:spacing w:line="600" w:lineRule="exact"/>
        <w:ind w:left="420" w:leftChars="200" w:firstLine="321" w:firstLineChars="100"/>
        <w:jc w:val="left"/>
        <w:outlineLvl w:val="2"/>
        <w:rPr>
          <w:rFonts w:eastAsia="仿宋_GB2312"/>
          <w:b/>
          <w:bCs/>
          <w:sz w:val="32"/>
          <w:szCs w:val="32"/>
        </w:rPr>
      </w:pPr>
      <w:r>
        <w:rPr>
          <w:rFonts w:eastAsia="仿宋_GB2312"/>
          <w:b/>
          <w:bCs/>
          <w:sz w:val="32"/>
          <w:szCs w:val="32"/>
        </w:rPr>
        <w:t>4.融合数字化管理技术</w:t>
      </w:r>
    </w:p>
    <w:p>
      <w:pPr>
        <w:spacing w:line="600" w:lineRule="exact"/>
        <w:ind w:firstLine="640" w:firstLineChars="200"/>
        <w:rPr>
          <w:rFonts w:eastAsia="仿宋_GB2312"/>
          <w:sz w:val="32"/>
          <w:szCs w:val="32"/>
        </w:rPr>
      </w:pPr>
      <w:r>
        <w:rPr>
          <w:rFonts w:eastAsia="仿宋_GB2312"/>
          <w:sz w:val="32"/>
          <w:szCs w:val="32"/>
        </w:rPr>
        <w:t>围绕垃圾焚烧等重点领域，开展工艺管理数字化技术研究，升级智慧化水平。开展焚烧机组烟气排放在线监测系统改造，提升污染物监测安全性和监测精准性；开展焚烧炉智能控制系统研究，引入大数据分析建立控制模型，实现焚烧炉排自动控制，提高焚烧炉自动化水平、燃烧效率和系统稳定性；推进生活垃圾焚烧工艺段自动识别系统研究，建立焚烧工艺段智慧算法，实现生活垃圾焚烧工段智能控制。通过数字化、智能化技术多触角应用，到2026年，完成数字化管理技术成果4项，实现园区数字化管理水平大幅提升。</w:t>
      </w:r>
    </w:p>
    <w:p>
      <w:pPr>
        <w:keepNext/>
        <w:keepLines/>
        <w:numPr>
          <w:ilvl w:val="2"/>
          <w:numId w:val="0"/>
        </w:numPr>
        <w:spacing w:line="600" w:lineRule="exact"/>
        <w:ind w:left="420" w:leftChars="200" w:firstLine="321" w:firstLineChars="100"/>
        <w:jc w:val="left"/>
        <w:outlineLvl w:val="2"/>
        <w:rPr>
          <w:rFonts w:eastAsia="仿宋_GB2312"/>
          <w:b/>
          <w:bCs/>
          <w:sz w:val="32"/>
          <w:szCs w:val="32"/>
        </w:rPr>
      </w:pPr>
      <w:r>
        <w:rPr>
          <w:rFonts w:eastAsia="仿宋_GB2312"/>
          <w:b/>
          <w:bCs/>
          <w:sz w:val="32"/>
          <w:szCs w:val="32"/>
        </w:rPr>
        <w:t>5.制定相关行业标准</w:t>
      </w:r>
    </w:p>
    <w:p>
      <w:pPr>
        <w:spacing w:line="600" w:lineRule="exact"/>
        <w:ind w:firstLine="640" w:firstLineChars="200"/>
        <w:rPr>
          <w:rFonts w:eastAsia="仿宋_GB2312"/>
          <w:sz w:val="32"/>
          <w:szCs w:val="32"/>
        </w:rPr>
      </w:pPr>
      <w:r>
        <w:rPr>
          <w:rFonts w:eastAsia="仿宋_GB2312"/>
          <w:sz w:val="32"/>
          <w:szCs w:val="32"/>
        </w:rPr>
        <w:t>围绕垃圾焚烧、厨余垃圾、建筑垃圾等重点领域，参与减污降碳协同创新标准编制工作，填补行业空白。开展垃圾行业温室气体排放核算，研究和参与减污降碳协同创新相关地方性标准的编制。积极谋划制定严于国家标准、行业标准、地方标准，具有竞争力的企业标准。积极对接相关行业协会、管理部门以及编制单位，开展和参与</w:t>
      </w:r>
      <w:bookmarkStart w:id="7" w:name="_Hlk142251931"/>
      <w:r>
        <w:rPr>
          <w:rFonts w:eastAsia="仿宋_GB2312"/>
          <w:sz w:val="32"/>
          <w:szCs w:val="32"/>
        </w:rPr>
        <w:t>垃圾焚烧、污水处理、厨余垃圾处理、建筑垃圾资源化、温室气体排放等减污降碳协同创新方向标准</w:t>
      </w:r>
      <w:bookmarkEnd w:id="7"/>
      <w:r>
        <w:rPr>
          <w:rFonts w:eastAsia="仿宋_GB2312"/>
          <w:sz w:val="32"/>
          <w:szCs w:val="32"/>
        </w:rPr>
        <w:t>编制工作。到2026年，形成减污降碳协同创新标准4项。</w:t>
      </w:r>
    </w:p>
    <w:p>
      <w:pPr>
        <w:keepNext/>
        <w:keepLines/>
        <w:numPr>
          <w:ilvl w:val="1"/>
          <w:numId w:val="0"/>
        </w:numPr>
        <w:spacing w:line="600" w:lineRule="exact"/>
        <w:ind w:firstLine="643" w:firstLineChars="200"/>
        <w:outlineLvl w:val="1"/>
        <w:rPr>
          <w:rFonts w:ascii="楷体_GB2312" w:eastAsia="楷体_GB2312"/>
          <w:b/>
          <w:bCs/>
          <w:sz w:val="32"/>
          <w:szCs w:val="32"/>
        </w:rPr>
      </w:pPr>
      <w:r>
        <w:rPr>
          <w:rFonts w:hint="eastAsia" w:ascii="楷体_GB2312" w:eastAsia="楷体_GB2312"/>
          <w:b/>
          <w:bCs/>
          <w:sz w:val="32"/>
          <w:szCs w:val="32"/>
        </w:rPr>
        <w:t>（四）碳控优链—调能构、增效益，形成多元低碳能源供应体系</w:t>
      </w:r>
    </w:p>
    <w:p>
      <w:pPr>
        <w:keepNext/>
        <w:keepLines/>
        <w:numPr>
          <w:ilvl w:val="2"/>
          <w:numId w:val="0"/>
        </w:numPr>
        <w:spacing w:line="600" w:lineRule="exact"/>
        <w:ind w:left="420" w:leftChars="200" w:firstLine="321" w:firstLineChars="100"/>
        <w:jc w:val="left"/>
        <w:outlineLvl w:val="2"/>
        <w:rPr>
          <w:rFonts w:eastAsia="仿宋_GB2312"/>
          <w:b/>
          <w:bCs/>
          <w:sz w:val="32"/>
          <w:szCs w:val="32"/>
        </w:rPr>
      </w:pPr>
      <w:r>
        <w:rPr>
          <w:rFonts w:eastAsia="仿宋_GB2312"/>
          <w:b/>
          <w:bCs/>
          <w:sz w:val="32"/>
          <w:szCs w:val="32"/>
        </w:rPr>
        <w:t>1.挖掘新能源供给潜力</w:t>
      </w:r>
    </w:p>
    <w:p>
      <w:pPr>
        <w:spacing w:line="600" w:lineRule="exact"/>
        <w:ind w:firstLine="640" w:firstLineChars="200"/>
        <w:rPr>
          <w:rFonts w:eastAsia="仿宋_GB2312"/>
          <w:sz w:val="32"/>
          <w:szCs w:val="32"/>
        </w:rPr>
      </w:pPr>
      <w:r>
        <w:rPr>
          <w:rFonts w:eastAsia="仿宋_GB2312"/>
          <w:sz w:val="32"/>
          <w:szCs w:val="32"/>
        </w:rPr>
        <w:t xml:space="preserve">科学评估园区屋顶利用面积，推动企业建设分布式光伏，重点推进厨余垃圾项目等屋顶建设光伏发电工程。大力推动园区焚烧项目的建设，通过优化锅炉蒸汽参数等技术，提高发电效率，全面提高园区清洁能源的发电量。实施沼气综合利用改造工程，提高园区生物质能供给能力。到2026年，提升绿色电力供应能力1亿kW·h。 </w:t>
      </w:r>
    </w:p>
    <w:p>
      <w:pPr>
        <w:keepNext/>
        <w:keepLines/>
        <w:numPr>
          <w:ilvl w:val="2"/>
          <w:numId w:val="0"/>
        </w:numPr>
        <w:spacing w:line="600" w:lineRule="exact"/>
        <w:ind w:left="420" w:leftChars="200" w:firstLine="321" w:firstLineChars="100"/>
        <w:jc w:val="left"/>
        <w:outlineLvl w:val="2"/>
        <w:rPr>
          <w:rFonts w:eastAsia="仿宋_GB2312"/>
          <w:b/>
          <w:bCs/>
          <w:sz w:val="32"/>
          <w:szCs w:val="32"/>
        </w:rPr>
      </w:pPr>
      <w:r>
        <w:rPr>
          <w:rFonts w:eastAsia="仿宋_GB2312"/>
          <w:b/>
          <w:bCs/>
          <w:sz w:val="32"/>
          <w:szCs w:val="32"/>
        </w:rPr>
        <w:t>2.优化能源供给结构</w:t>
      </w:r>
    </w:p>
    <w:p>
      <w:pPr>
        <w:spacing w:line="600" w:lineRule="exact"/>
        <w:ind w:firstLine="640" w:firstLineChars="200"/>
        <w:rPr>
          <w:rFonts w:eastAsia="仿宋_GB2312"/>
          <w:sz w:val="32"/>
          <w:szCs w:val="32"/>
        </w:rPr>
      </w:pPr>
      <w:r>
        <w:rPr>
          <w:rFonts w:eastAsia="仿宋_GB2312"/>
          <w:sz w:val="32"/>
          <w:szCs w:val="32"/>
        </w:rPr>
        <w:t>优化能源优化配置，加强能源统一管理，构建由焚烧发电、光伏发电、沼气发电组成的可再生能源、新能源多元化能源体系，全面提高园区生物质能产、用比例和绿色能源内外供给的容量、数量和质量，构建</w:t>
      </w:r>
      <w:r>
        <w:rPr>
          <w:rFonts w:hint="eastAsia" w:eastAsia="仿宋_GB2312"/>
          <w:sz w:val="32"/>
          <w:szCs w:val="32"/>
        </w:rPr>
        <w:t>“</w:t>
      </w:r>
      <w:r>
        <w:rPr>
          <w:rFonts w:eastAsia="仿宋_GB2312"/>
          <w:sz w:val="32"/>
          <w:szCs w:val="32"/>
        </w:rPr>
        <w:t>三能二源三量</w:t>
      </w:r>
      <w:r>
        <w:rPr>
          <w:rFonts w:hint="eastAsia" w:eastAsia="仿宋_GB2312"/>
          <w:sz w:val="32"/>
          <w:szCs w:val="32"/>
        </w:rPr>
        <w:t>”</w:t>
      </w:r>
      <w:r>
        <w:rPr>
          <w:rFonts w:eastAsia="仿宋_GB2312"/>
          <w:sz w:val="32"/>
          <w:szCs w:val="32"/>
        </w:rPr>
        <w:t>能源多能互补模式能源结构，促进园区能源结构绿色低碳转型。</w:t>
      </w:r>
    </w:p>
    <w:p>
      <w:pPr>
        <w:keepNext/>
        <w:keepLines/>
        <w:numPr>
          <w:ilvl w:val="2"/>
          <w:numId w:val="0"/>
        </w:numPr>
        <w:spacing w:line="600" w:lineRule="exact"/>
        <w:ind w:left="420" w:leftChars="200" w:firstLine="321" w:firstLineChars="100"/>
        <w:jc w:val="left"/>
        <w:outlineLvl w:val="2"/>
        <w:rPr>
          <w:rFonts w:eastAsia="仿宋_GB2312"/>
          <w:b/>
          <w:bCs/>
          <w:sz w:val="32"/>
          <w:szCs w:val="32"/>
        </w:rPr>
      </w:pPr>
      <w:r>
        <w:rPr>
          <w:rFonts w:eastAsia="仿宋_GB2312"/>
          <w:b/>
          <w:bCs/>
          <w:sz w:val="32"/>
          <w:szCs w:val="32"/>
        </w:rPr>
        <w:t>3.提升余热利用效率</w:t>
      </w:r>
    </w:p>
    <w:p>
      <w:pPr>
        <w:spacing w:line="600" w:lineRule="exact"/>
        <w:ind w:firstLine="640" w:firstLineChars="200"/>
        <w:rPr>
          <w:rFonts w:eastAsia="仿宋_GB2312"/>
          <w:sz w:val="32"/>
          <w:szCs w:val="32"/>
        </w:rPr>
      </w:pPr>
      <w:r>
        <w:rPr>
          <w:rFonts w:eastAsia="仿宋_GB2312"/>
          <w:sz w:val="32"/>
          <w:szCs w:val="32"/>
        </w:rPr>
        <w:t>建立以垃圾焚烧发电为核心的园区化协同碳减排新模式，挖掘垃圾焚烧余热回收利用潜力，构建余热利用成套技术体系，提高能源代谢效率。开展清洁焚烧中心蒸汽余热利用研究，采用蒸汽流量自动分配和优化供汽管路等方式协同供应厨余垃圾生产用能。焚烧项目利用除氧器排汽余热回收装置开展乏汽、疏水余热回收；利用烟管布置换热器，开展脱硝装置出口烟气余热深度利用。到2026年，提高蒸汽余热利用量9.8万t/a。</w:t>
      </w:r>
    </w:p>
    <w:bookmarkEnd w:id="5"/>
    <w:bookmarkEnd w:id="6"/>
    <w:p>
      <w:pPr>
        <w:keepNext/>
        <w:keepLines/>
        <w:numPr>
          <w:ilvl w:val="1"/>
          <w:numId w:val="0"/>
        </w:numPr>
        <w:spacing w:line="600" w:lineRule="exact"/>
        <w:ind w:firstLine="643" w:firstLineChars="200"/>
        <w:outlineLvl w:val="1"/>
        <w:rPr>
          <w:rFonts w:ascii="楷体_GB2312" w:eastAsia="楷体_GB2312"/>
          <w:b/>
          <w:bCs/>
          <w:sz w:val="32"/>
          <w:szCs w:val="32"/>
        </w:rPr>
      </w:pPr>
      <w:bookmarkStart w:id="8" w:name="_Toc167981329"/>
      <w:bookmarkStart w:id="9" w:name="_Toc142242749"/>
      <w:r>
        <w:rPr>
          <w:rFonts w:hint="eastAsia" w:ascii="楷体_GB2312" w:eastAsia="楷体_GB2312"/>
          <w:b/>
          <w:bCs/>
          <w:sz w:val="32"/>
          <w:szCs w:val="32"/>
        </w:rPr>
        <w:t>（五）管理统链—</w:t>
      </w:r>
      <w:bookmarkEnd w:id="8"/>
      <w:bookmarkEnd w:id="9"/>
      <w:r>
        <w:rPr>
          <w:rFonts w:hint="eastAsia" w:ascii="楷体_GB2312" w:eastAsia="楷体_GB2312"/>
          <w:b/>
          <w:bCs/>
          <w:sz w:val="32"/>
          <w:szCs w:val="32"/>
        </w:rPr>
        <w:t>强手段、载科技，完善园区污碳协同智控能力</w:t>
      </w:r>
    </w:p>
    <w:p>
      <w:pPr>
        <w:keepNext/>
        <w:keepLines/>
        <w:numPr>
          <w:ilvl w:val="2"/>
          <w:numId w:val="0"/>
        </w:numPr>
        <w:spacing w:line="600" w:lineRule="exact"/>
        <w:ind w:left="420" w:leftChars="200" w:firstLine="321" w:firstLineChars="100"/>
        <w:jc w:val="left"/>
        <w:outlineLvl w:val="2"/>
        <w:rPr>
          <w:rFonts w:eastAsia="仿宋_GB2312"/>
          <w:b/>
          <w:bCs/>
          <w:sz w:val="32"/>
          <w:szCs w:val="32"/>
        </w:rPr>
      </w:pPr>
      <w:r>
        <w:rPr>
          <w:rFonts w:eastAsia="仿宋_GB2312"/>
          <w:b/>
          <w:bCs/>
          <w:sz w:val="32"/>
          <w:szCs w:val="32"/>
        </w:rPr>
        <w:t>1.提升能源管理能力</w:t>
      </w:r>
    </w:p>
    <w:p>
      <w:pPr>
        <w:spacing w:line="600" w:lineRule="exact"/>
        <w:ind w:firstLine="640" w:firstLineChars="200"/>
        <w:rPr>
          <w:rFonts w:eastAsia="仿宋_GB2312"/>
          <w:sz w:val="32"/>
          <w:szCs w:val="32"/>
        </w:rPr>
      </w:pPr>
      <w:r>
        <w:rPr>
          <w:rFonts w:eastAsia="仿宋_GB2312"/>
          <w:sz w:val="32"/>
          <w:szCs w:val="32"/>
        </w:rPr>
        <w:t>合理分解能源消费强度和总量双控目标，优化评价考核制度。深入落实能耗、总量双控目标要求。优化完善节能审查制度，科学评估新增用能项目对能耗双控和碳达峰目标的影响，严格节能验收闭环管理。强化能源审计管理制度，</w:t>
      </w:r>
      <w:bookmarkStart w:id="10" w:name="_Hlk142251873"/>
      <w:r>
        <w:rPr>
          <w:rFonts w:eastAsia="仿宋_GB2312"/>
          <w:sz w:val="32"/>
          <w:szCs w:val="32"/>
        </w:rPr>
        <w:t>引导督促园区用能企业提升节能管理水平、深挖节能潜力，提高能源管理效能。</w:t>
      </w:r>
      <w:bookmarkEnd w:id="10"/>
    </w:p>
    <w:p>
      <w:pPr>
        <w:keepNext/>
        <w:keepLines/>
        <w:numPr>
          <w:ilvl w:val="2"/>
          <w:numId w:val="0"/>
        </w:numPr>
        <w:spacing w:line="600" w:lineRule="exact"/>
        <w:ind w:left="420" w:leftChars="200" w:firstLine="321" w:firstLineChars="100"/>
        <w:jc w:val="left"/>
        <w:outlineLvl w:val="2"/>
        <w:rPr>
          <w:rFonts w:eastAsia="仿宋_GB2312"/>
          <w:b/>
          <w:bCs/>
          <w:sz w:val="32"/>
          <w:szCs w:val="32"/>
        </w:rPr>
      </w:pPr>
      <w:r>
        <w:rPr>
          <w:rFonts w:eastAsia="仿宋_GB2312"/>
          <w:b/>
          <w:bCs/>
          <w:sz w:val="32"/>
          <w:szCs w:val="32"/>
        </w:rPr>
        <w:t>2.建设减污降碳协同智慧管理平台</w:t>
      </w:r>
    </w:p>
    <w:p>
      <w:pPr>
        <w:spacing w:line="600" w:lineRule="exact"/>
        <w:ind w:firstLine="640" w:firstLineChars="200"/>
        <w:rPr>
          <w:rFonts w:eastAsia="仿宋_GB2312"/>
          <w:sz w:val="32"/>
          <w:szCs w:val="32"/>
        </w:rPr>
      </w:pPr>
      <w:r>
        <w:rPr>
          <w:rFonts w:eastAsia="仿宋_GB2312"/>
          <w:sz w:val="32"/>
          <w:szCs w:val="32"/>
        </w:rPr>
        <w:t>建设以综合能源管理、固废处理（生产管理）、减排管理、园区经营管理四大业务领域为主的智慧管理平台，通过数据共享，赋能园区精细化管理，实现供给侧预测、需求侧预测及能源系统设备运行智慧管理，提升园区运营效率和智慧化水平。</w:t>
      </w:r>
    </w:p>
    <w:p>
      <w:pPr>
        <w:keepNext/>
        <w:keepLines/>
        <w:numPr>
          <w:ilvl w:val="2"/>
          <w:numId w:val="0"/>
        </w:numPr>
        <w:spacing w:line="600" w:lineRule="exact"/>
        <w:ind w:left="420" w:leftChars="200" w:firstLine="321" w:firstLineChars="100"/>
        <w:jc w:val="left"/>
        <w:outlineLvl w:val="2"/>
        <w:rPr>
          <w:rFonts w:eastAsia="仿宋_GB2312"/>
          <w:b/>
          <w:bCs/>
          <w:sz w:val="32"/>
          <w:szCs w:val="32"/>
        </w:rPr>
      </w:pPr>
      <w:r>
        <w:rPr>
          <w:rFonts w:eastAsia="仿宋_GB2312"/>
          <w:b/>
          <w:bCs/>
          <w:sz w:val="32"/>
          <w:szCs w:val="32"/>
        </w:rPr>
        <w:t>3.建立</w:t>
      </w:r>
      <w:r>
        <w:rPr>
          <w:rFonts w:hint="eastAsia" w:eastAsia="仿宋_GB2312"/>
          <w:b/>
          <w:bCs/>
          <w:sz w:val="32"/>
          <w:szCs w:val="32"/>
        </w:rPr>
        <w:t>“</w:t>
      </w:r>
      <w:r>
        <w:rPr>
          <w:rFonts w:eastAsia="仿宋_GB2312"/>
          <w:b/>
          <w:bCs/>
          <w:sz w:val="32"/>
          <w:szCs w:val="32"/>
        </w:rPr>
        <w:t>多流合一</w:t>
      </w:r>
      <w:r>
        <w:rPr>
          <w:rFonts w:hint="eastAsia" w:eastAsia="仿宋_GB2312"/>
          <w:b/>
          <w:bCs/>
          <w:sz w:val="32"/>
          <w:szCs w:val="32"/>
        </w:rPr>
        <w:t>”</w:t>
      </w:r>
      <w:r>
        <w:rPr>
          <w:rFonts w:eastAsia="仿宋_GB2312"/>
          <w:b/>
          <w:bCs/>
          <w:sz w:val="32"/>
          <w:szCs w:val="32"/>
        </w:rPr>
        <w:t>智慧管理体系</w:t>
      </w:r>
    </w:p>
    <w:p>
      <w:pPr>
        <w:spacing w:line="600" w:lineRule="exact"/>
        <w:ind w:firstLine="640" w:firstLineChars="200"/>
        <w:rPr>
          <w:rFonts w:eastAsia="仿宋_GB2312"/>
          <w:sz w:val="32"/>
          <w:szCs w:val="32"/>
        </w:rPr>
      </w:pPr>
      <w:r>
        <w:rPr>
          <w:rFonts w:eastAsia="仿宋_GB2312"/>
          <w:sz w:val="32"/>
          <w:szCs w:val="32"/>
        </w:rPr>
        <w:t>通过引入数智化手段，建立园区物质流、能量流、信息流、碳流、资金流</w:t>
      </w:r>
      <w:r>
        <w:rPr>
          <w:rFonts w:hint="eastAsia" w:eastAsia="仿宋_GB2312"/>
          <w:sz w:val="32"/>
          <w:szCs w:val="32"/>
        </w:rPr>
        <w:t>“</w:t>
      </w:r>
      <w:r>
        <w:rPr>
          <w:rFonts w:eastAsia="仿宋_GB2312"/>
          <w:sz w:val="32"/>
          <w:szCs w:val="32"/>
        </w:rPr>
        <w:t>多流合一</w:t>
      </w:r>
      <w:r>
        <w:rPr>
          <w:rFonts w:hint="eastAsia" w:eastAsia="仿宋_GB2312"/>
          <w:sz w:val="32"/>
          <w:szCs w:val="32"/>
        </w:rPr>
        <w:t>”</w:t>
      </w:r>
      <w:r>
        <w:rPr>
          <w:rFonts w:eastAsia="仿宋_GB2312"/>
          <w:sz w:val="32"/>
          <w:szCs w:val="32"/>
        </w:rPr>
        <w:t>智慧管理体系，将</w:t>
      </w:r>
      <w:r>
        <w:rPr>
          <w:rFonts w:hint="eastAsia" w:eastAsia="仿宋_GB2312"/>
          <w:sz w:val="32"/>
          <w:szCs w:val="32"/>
        </w:rPr>
        <w:t>“</w:t>
      </w:r>
      <w:r>
        <w:rPr>
          <w:rFonts w:eastAsia="仿宋_GB2312"/>
          <w:sz w:val="32"/>
          <w:szCs w:val="32"/>
        </w:rPr>
        <w:t>有线</w:t>
      </w:r>
      <w:r>
        <w:rPr>
          <w:rFonts w:hint="eastAsia" w:eastAsia="仿宋_GB2312"/>
          <w:sz w:val="32"/>
          <w:szCs w:val="32"/>
        </w:rPr>
        <w:t>”</w:t>
      </w:r>
      <w:r>
        <w:rPr>
          <w:rFonts w:eastAsia="仿宋_GB2312"/>
          <w:sz w:val="32"/>
          <w:szCs w:val="32"/>
        </w:rPr>
        <w:t>变</w:t>
      </w:r>
      <w:r>
        <w:rPr>
          <w:rFonts w:hint="eastAsia" w:eastAsia="仿宋_GB2312"/>
          <w:sz w:val="32"/>
          <w:szCs w:val="32"/>
        </w:rPr>
        <w:t>“</w:t>
      </w:r>
      <w:r>
        <w:rPr>
          <w:rFonts w:eastAsia="仿宋_GB2312"/>
          <w:sz w:val="32"/>
          <w:szCs w:val="32"/>
        </w:rPr>
        <w:t>无线</w:t>
      </w:r>
      <w:r>
        <w:rPr>
          <w:rFonts w:hint="eastAsia" w:eastAsia="仿宋_GB2312"/>
          <w:sz w:val="32"/>
          <w:szCs w:val="32"/>
        </w:rPr>
        <w:t>”</w:t>
      </w:r>
      <w:r>
        <w:rPr>
          <w:rFonts w:eastAsia="仿宋_GB2312"/>
          <w:sz w:val="32"/>
          <w:szCs w:val="32"/>
        </w:rPr>
        <w:t>，以云边协同构建园区新中枢，通过园区数字化平台快速打造数字产业生态，建造</w:t>
      </w:r>
      <w:r>
        <w:rPr>
          <w:rFonts w:hint="eastAsia" w:eastAsia="仿宋_GB2312"/>
          <w:sz w:val="32"/>
          <w:szCs w:val="32"/>
        </w:rPr>
        <w:t>“</w:t>
      </w:r>
      <w:r>
        <w:rPr>
          <w:rFonts w:eastAsia="仿宋_GB2312"/>
          <w:sz w:val="32"/>
          <w:szCs w:val="32"/>
        </w:rPr>
        <w:t>安全、智慧、绿色、低碳</w:t>
      </w:r>
      <w:r>
        <w:rPr>
          <w:rFonts w:hint="eastAsia" w:eastAsia="仿宋_GB2312"/>
          <w:sz w:val="32"/>
          <w:szCs w:val="32"/>
        </w:rPr>
        <w:t>”</w:t>
      </w:r>
      <w:r>
        <w:rPr>
          <w:rFonts w:eastAsia="仿宋_GB2312"/>
          <w:sz w:val="32"/>
          <w:szCs w:val="32"/>
        </w:rPr>
        <w:t>的智慧园区。</w:t>
      </w:r>
    </w:p>
    <w:p>
      <w:pPr>
        <w:keepNext/>
        <w:keepLines/>
        <w:numPr>
          <w:ilvl w:val="1"/>
          <w:numId w:val="0"/>
        </w:numPr>
        <w:spacing w:line="600" w:lineRule="exact"/>
        <w:ind w:firstLine="643" w:firstLineChars="200"/>
        <w:outlineLvl w:val="1"/>
        <w:rPr>
          <w:rFonts w:ascii="楷体_GB2312" w:eastAsia="楷体_GB2312"/>
          <w:b/>
          <w:bCs/>
          <w:sz w:val="32"/>
          <w:szCs w:val="32"/>
        </w:rPr>
      </w:pPr>
      <w:r>
        <w:rPr>
          <w:rFonts w:hint="eastAsia" w:ascii="楷体_GB2312" w:eastAsia="楷体_GB2312"/>
          <w:b/>
          <w:bCs/>
          <w:sz w:val="32"/>
          <w:szCs w:val="32"/>
        </w:rPr>
        <w:t>（六）宣教普链—建平台、开课堂，营造园区污碳协同众推氛围</w:t>
      </w:r>
    </w:p>
    <w:p>
      <w:pPr>
        <w:keepNext/>
        <w:keepLines/>
        <w:numPr>
          <w:ilvl w:val="2"/>
          <w:numId w:val="0"/>
        </w:numPr>
        <w:spacing w:line="600" w:lineRule="exact"/>
        <w:ind w:left="420" w:leftChars="200" w:firstLine="321" w:firstLineChars="100"/>
        <w:jc w:val="left"/>
        <w:outlineLvl w:val="2"/>
        <w:rPr>
          <w:rFonts w:eastAsia="仿宋_GB2312"/>
          <w:b/>
          <w:bCs/>
          <w:sz w:val="32"/>
          <w:szCs w:val="32"/>
        </w:rPr>
      </w:pPr>
      <w:bookmarkStart w:id="11" w:name="_Toc142242750"/>
      <w:bookmarkStart w:id="12" w:name="_Toc167981330"/>
      <w:r>
        <w:rPr>
          <w:rFonts w:eastAsia="仿宋_GB2312"/>
          <w:b/>
          <w:bCs/>
          <w:sz w:val="32"/>
          <w:szCs w:val="32"/>
        </w:rPr>
        <w:t>1.营造</w:t>
      </w:r>
      <w:r>
        <w:rPr>
          <w:rFonts w:hint="eastAsia" w:eastAsia="仿宋_GB2312"/>
          <w:b/>
          <w:bCs/>
          <w:sz w:val="32"/>
          <w:szCs w:val="32"/>
        </w:rPr>
        <w:t>“</w:t>
      </w:r>
      <w:r>
        <w:rPr>
          <w:rFonts w:eastAsia="仿宋_GB2312"/>
          <w:b/>
          <w:bCs/>
          <w:sz w:val="32"/>
          <w:szCs w:val="32"/>
        </w:rPr>
        <w:t>公众说碳</w:t>
      </w:r>
      <w:r>
        <w:rPr>
          <w:rFonts w:hint="eastAsia" w:eastAsia="仿宋_GB2312"/>
          <w:b/>
          <w:bCs/>
          <w:sz w:val="32"/>
          <w:szCs w:val="32"/>
        </w:rPr>
        <w:t>”</w:t>
      </w:r>
      <w:r>
        <w:rPr>
          <w:rFonts w:eastAsia="仿宋_GB2312"/>
          <w:b/>
          <w:bCs/>
          <w:sz w:val="32"/>
          <w:szCs w:val="32"/>
        </w:rPr>
        <w:t>良</w:t>
      </w:r>
      <w:bookmarkEnd w:id="11"/>
      <w:r>
        <w:rPr>
          <w:rFonts w:eastAsia="仿宋_GB2312"/>
          <w:b/>
          <w:bCs/>
          <w:sz w:val="32"/>
          <w:szCs w:val="32"/>
        </w:rPr>
        <w:t>好氛围</w:t>
      </w:r>
      <w:bookmarkEnd w:id="12"/>
    </w:p>
    <w:p>
      <w:pPr>
        <w:spacing w:line="600" w:lineRule="exact"/>
        <w:ind w:firstLine="640" w:firstLineChars="200"/>
        <w:rPr>
          <w:rFonts w:eastAsia="仿宋_GB2312"/>
          <w:sz w:val="32"/>
          <w:szCs w:val="32"/>
        </w:rPr>
      </w:pPr>
      <w:r>
        <w:rPr>
          <w:rFonts w:eastAsia="仿宋_GB2312"/>
          <w:sz w:val="32"/>
          <w:szCs w:val="32"/>
        </w:rPr>
        <w:t>将减污降碳协同纳入宣传教育内容，充分利用</w:t>
      </w:r>
      <w:r>
        <w:rPr>
          <w:rFonts w:hint="eastAsia" w:eastAsia="仿宋_GB2312"/>
          <w:sz w:val="32"/>
          <w:szCs w:val="32"/>
        </w:rPr>
        <w:t>“</w:t>
      </w:r>
      <w:r>
        <w:rPr>
          <w:rFonts w:eastAsia="仿宋_GB2312"/>
          <w:sz w:val="32"/>
          <w:szCs w:val="32"/>
        </w:rPr>
        <w:t>国家循环经济教育示范基地</w:t>
      </w:r>
      <w:r>
        <w:rPr>
          <w:rFonts w:hint="eastAsia" w:eastAsia="仿宋_GB2312"/>
          <w:sz w:val="32"/>
          <w:szCs w:val="32"/>
        </w:rPr>
        <w:t>”</w:t>
      </w:r>
      <w:r>
        <w:rPr>
          <w:rFonts w:eastAsia="仿宋_GB2312"/>
          <w:sz w:val="32"/>
          <w:szCs w:val="32"/>
        </w:rPr>
        <w:t>、</w:t>
      </w:r>
      <w:r>
        <w:rPr>
          <w:rFonts w:hint="eastAsia" w:eastAsia="仿宋_GB2312"/>
          <w:sz w:val="32"/>
          <w:szCs w:val="32"/>
        </w:rPr>
        <w:t>“</w:t>
      </w:r>
      <w:r>
        <w:rPr>
          <w:rFonts w:eastAsia="仿宋_GB2312"/>
          <w:sz w:val="32"/>
          <w:szCs w:val="32"/>
        </w:rPr>
        <w:t>国家生态环境科普基地</w:t>
      </w:r>
      <w:r>
        <w:rPr>
          <w:rFonts w:hint="eastAsia" w:eastAsia="仿宋_GB2312"/>
          <w:sz w:val="32"/>
          <w:szCs w:val="32"/>
        </w:rPr>
        <w:t>”</w:t>
      </w:r>
      <w:r>
        <w:rPr>
          <w:rFonts w:eastAsia="仿宋_GB2312"/>
          <w:sz w:val="32"/>
          <w:szCs w:val="32"/>
        </w:rPr>
        <w:t>宣教渠道优势，采用广大人民群众喜闻乐见的方式，搭建与公众互动的减污降碳知识共享共建平台。充分利用园区减污降碳协同创新试点的专业化多维度设施平台优势，强化绿色低碳科普宣教阵地职能，以定制化科普辐射各类人群，化</w:t>
      </w:r>
      <w:r>
        <w:rPr>
          <w:rFonts w:hint="eastAsia" w:eastAsia="仿宋_GB2312"/>
          <w:sz w:val="32"/>
          <w:szCs w:val="32"/>
        </w:rPr>
        <w:t>“</w:t>
      </w:r>
      <w:r>
        <w:rPr>
          <w:rFonts w:eastAsia="仿宋_GB2312"/>
          <w:sz w:val="32"/>
          <w:szCs w:val="32"/>
        </w:rPr>
        <w:t>邻避</w:t>
      </w:r>
      <w:r>
        <w:rPr>
          <w:rFonts w:hint="eastAsia" w:eastAsia="仿宋_GB2312"/>
          <w:sz w:val="32"/>
          <w:szCs w:val="32"/>
        </w:rPr>
        <w:t>”</w:t>
      </w:r>
      <w:r>
        <w:rPr>
          <w:rFonts w:eastAsia="仿宋_GB2312"/>
          <w:sz w:val="32"/>
          <w:szCs w:val="32"/>
        </w:rPr>
        <w:t>效应为</w:t>
      </w:r>
      <w:r>
        <w:rPr>
          <w:rFonts w:hint="eastAsia" w:eastAsia="仿宋_GB2312"/>
          <w:sz w:val="32"/>
          <w:szCs w:val="32"/>
        </w:rPr>
        <w:t>“</w:t>
      </w:r>
      <w:r>
        <w:rPr>
          <w:rFonts w:eastAsia="仿宋_GB2312"/>
          <w:sz w:val="32"/>
          <w:szCs w:val="32"/>
        </w:rPr>
        <w:t>邻利</w:t>
      </w:r>
      <w:r>
        <w:rPr>
          <w:rFonts w:hint="eastAsia" w:eastAsia="仿宋_GB2312"/>
          <w:sz w:val="32"/>
          <w:szCs w:val="32"/>
        </w:rPr>
        <w:t>”</w:t>
      </w:r>
      <w:r>
        <w:rPr>
          <w:rFonts w:eastAsia="仿宋_GB2312"/>
          <w:sz w:val="32"/>
          <w:szCs w:val="32"/>
        </w:rPr>
        <w:t>效益，以绿色低碳循环的设计理念变</w:t>
      </w:r>
      <w:r>
        <w:rPr>
          <w:rFonts w:hint="eastAsia" w:eastAsia="仿宋_GB2312"/>
          <w:sz w:val="32"/>
          <w:szCs w:val="32"/>
        </w:rPr>
        <w:t>“</w:t>
      </w:r>
      <w:r>
        <w:rPr>
          <w:rFonts w:eastAsia="仿宋_GB2312"/>
          <w:sz w:val="32"/>
          <w:szCs w:val="32"/>
        </w:rPr>
        <w:t>垃圾处理场</w:t>
      </w:r>
      <w:r>
        <w:rPr>
          <w:rFonts w:hint="eastAsia" w:eastAsia="仿宋_GB2312"/>
          <w:sz w:val="32"/>
          <w:szCs w:val="32"/>
        </w:rPr>
        <w:t>”</w:t>
      </w:r>
      <w:r>
        <w:rPr>
          <w:rFonts w:eastAsia="仿宋_GB2312"/>
          <w:sz w:val="32"/>
          <w:szCs w:val="32"/>
        </w:rPr>
        <w:t>为</w:t>
      </w:r>
      <w:r>
        <w:rPr>
          <w:rFonts w:hint="eastAsia" w:eastAsia="仿宋_GB2312"/>
          <w:sz w:val="32"/>
          <w:szCs w:val="32"/>
        </w:rPr>
        <w:t>“</w:t>
      </w:r>
      <w:r>
        <w:rPr>
          <w:rFonts w:eastAsia="仿宋_GB2312"/>
          <w:sz w:val="32"/>
          <w:szCs w:val="32"/>
        </w:rPr>
        <w:t>减污降碳协同科普基地</w:t>
      </w:r>
      <w:r>
        <w:rPr>
          <w:rFonts w:hint="eastAsia" w:eastAsia="仿宋_GB2312"/>
          <w:sz w:val="32"/>
          <w:szCs w:val="32"/>
        </w:rPr>
        <w:t>”</w:t>
      </w:r>
      <w:r>
        <w:rPr>
          <w:rFonts w:eastAsia="仿宋_GB2312"/>
          <w:sz w:val="32"/>
          <w:szCs w:val="32"/>
        </w:rPr>
        <w:t>，打造城市会客厅。充分营造公众说碳的良好氛围，将循环利用、低碳运行的专业实践和丰富经验向全行业乃至全国宣传推广</w:t>
      </w:r>
      <w:bookmarkStart w:id="13" w:name="_Toc142242751"/>
      <w:r>
        <w:rPr>
          <w:rFonts w:eastAsia="仿宋_GB2312"/>
          <w:sz w:val="32"/>
          <w:szCs w:val="32"/>
        </w:rPr>
        <w:t>。</w:t>
      </w:r>
    </w:p>
    <w:p>
      <w:pPr>
        <w:keepNext/>
        <w:keepLines/>
        <w:numPr>
          <w:ilvl w:val="2"/>
          <w:numId w:val="0"/>
        </w:numPr>
        <w:spacing w:line="600" w:lineRule="exact"/>
        <w:ind w:left="420" w:leftChars="200" w:firstLine="321" w:firstLineChars="100"/>
        <w:jc w:val="left"/>
        <w:outlineLvl w:val="2"/>
        <w:rPr>
          <w:rFonts w:eastAsia="仿宋_GB2312"/>
          <w:b/>
          <w:bCs/>
          <w:sz w:val="32"/>
          <w:szCs w:val="32"/>
        </w:rPr>
      </w:pPr>
      <w:r>
        <w:rPr>
          <w:rFonts w:eastAsia="仿宋_GB2312"/>
          <w:b/>
          <w:bCs/>
          <w:sz w:val="32"/>
          <w:szCs w:val="32"/>
        </w:rPr>
        <w:t>2.嵌入式推广降碳模式</w:t>
      </w:r>
    </w:p>
    <w:p>
      <w:pPr>
        <w:spacing w:line="600" w:lineRule="exact"/>
        <w:ind w:firstLine="640" w:firstLineChars="200"/>
        <w:rPr>
          <w:rFonts w:eastAsia="仿宋_GB2312"/>
          <w:sz w:val="32"/>
          <w:szCs w:val="32"/>
        </w:rPr>
      </w:pPr>
      <w:r>
        <w:rPr>
          <w:rFonts w:eastAsia="仿宋_GB2312"/>
          <w:sz w:val="32"/>
          <w:szCs w:val="32"/>
        </w:rPr>
        <w:t>充分发挥园区科普宣教阵地职能，开发中小学社会大课堂课程，普及垃圾分类及资源循环利用知识；建设高校和科研机构的教研实习基地，为科技发展提供人才资源和实验平台；建立生态文明宣传教育平台，输出园区</w:t>
      </w:r>
      <w:r>
        <w:rPr>
          <w:rFonts w:hint="eastAsia" w:eastAsia="仿宋_GB2312"/>
          <w:sz w:val="32"/>
          <w:szCs w:val="32"/>
        </w:rPr>
        <w:t>“</w:t>
      </w:r>
      <w:r>
        <w:rPr>
          <w:rFonts w:eastAsia="仿宋_GB2312"/>
          <w:sz w:val="32"/>
          <w:szCs w:val="32"/>
        </w:rPr>
        <w:t>一个方案、一套技术、一套体系</w:t>
      </w:r>
      <w:r>
        <w:rPr>
          <w:rFonts w:hint="eastAsia" w:eastAsia="仿宋_GB2312"/>
          <w:sz w:val="32"/>
          <w:szCs w:val="32"/>
        </w:rPr>
        <w:t>”</w:t>
      </w:r>
      <w:r>
        <w:rPr>
          <w:rFonts w:eastAsia="仿宋_GB2312"/>
          <w:sz w:val="32"/>
          <w:szCs w:val="32"/>
        </w:rPr>
        <w:t>减污降碳协同创新模式，向公众开展生态文明、环保理念宣传和职业技能培训。</w:t>
      </w:r>
    </w:p>
    <w:p>
      <w:pPr>
        <w:keepNext/>
        <w:keepLines/>
        <w:spacing w:line="600" w:lineRule="exact"/>
        <w:ind w:firstLine="640" w:firstLineChars="200"/>
        <w:jc w:val="left"/>
        <w:outlineLvl w:val="0"/>
        <w:rPr>
          <w:rFonts w:ascii="黑体" w:hAnsi="黑体" w:eastAsia="黑体"/>
          <w:bCs/>
          <w:kern w:val="44"/>
          <w:sz w:val="32"/>
          <w:szCs w:val="32"/>
        </w:rPr>
      </w:pPr>
      <w:bookmarkStart w:id="14" w:name="_Toc167981331"/>
      <w:r>
        <w:rPr>
          <w:rFonts w:ascii="黑体" w:hAnsi="黑体" w:eastAsia="黑体"/>
          <w:bCs/>
          <w:kern w:val="44"/>
          <w:sz w:val="32"/>
          <w:szCs w:val="32"/>
        </w:rPr>
        <w:t>三、</w:t>
      </w:r>
      <w:bookmarkEnd w:id="13"/>
      <w:r>
        <w:rPr>
          <w:rFonts w:ascii="黑体" w:hAnsi="黑体" w:eastAsia="黑体"/>
          <w:bCs/>
          <w:kern w:val="44"/>
          <w:sz w:val="32"/>
          <w:szCs w:val="32"/>
        </w:rPr>
        <w:t>保障措施</w:t>
      </w:r>
      <w:bookmarkEnd w:id="14"/>
    </w:p>
    <w:p>
      <w:pPr>
        <w:keepNext/>
        <w:keepLines/>
        <w:numPr>
          <w:ilvl w:val="1"/>
          <w:numId w:val="0"/>
        </w:numPr>
        <w:spacing w:line="600" w:lineRule="exact"/>
        <w:ind w:firstLine="643" w:firstLineChars="200"/>
        <w:jc w:val="left"/>
        <w:outlineLvl w:val="0"/>
        <w:rPr>
          <w:rFonts w:ascii="楷体_GB2312" w:eastAsia="楷体_GB2312"/>
          <w:b/>
          <w:bCs/>
          <w:kern w:val="44"/>
          <w:sz w:val="32"/>
          <w:szCs w:val="32"/>
        </w:rPr>
      </w:pPr>
      <w:r>
        <w:rPr>
          <w:rFonts w:hint="eastAsia" w:ascii="楷体_GB2312" w:eastAsia="楷体_GB2312"/>
          <w:b/>
          <w:bCs/>
          <w:kern w:val="44"/>
          <w:sz w:val="32"/>
          <w:szCs w:val="32"/>
        </w:rPr>
        <w:t>（一）组织保障</w:t>
      </w:r>
    </w:p>
    <w:p>
      <w:pPr>
        <w:spacing w:line="600" w:lineRule="exact"/>
        <w:ind w:firstLine="640" w:firstLineChars="200"/>
        <w:rPr>
          <w:rFonts w:eastAsia="仿宋_GB2312"/>
          <w:sz w:val="32"/>
          <w:szCs w:val="32"/>
        </w:rPr>
      </w:pPr>
      <w:r>
        <w:rPr>
          <w:rFonts w:eastAsia="仿宋_GB2312"/>
          <w:sz w:val="32"/>
          <w:szCs w:val="32"/>
        </w:rPr>
        <w:t>建设完备的组织体系。设立北京市朝阳循环经济产业园区减污降碳协同创新试点领导小组，构建</w:t>
      </w:r>
      <w:r>
        <w:rPr>
          <w:rFonts w:hint="eastAsia" w:eastAsia="仿宋_GB2312"/>
          <w:sz w:val="32"/>
          <w:szCs w:val="32"/>
        </w:rPr>
        <w:t>“</w:t>
      </w:r>
      <w:r>
        <w:rPr>
          <w:rFonts w:eastAsia="仿宋_GB2312"/>
          <w:sz w:val="32"/>
          <w:szCs w:val="32"/>
        </w:rPr>
        <w:t>横向统筹协调、纵向贯通落实</w:t>
      </w:r>
      <w:r>
        <w:rPr>
          <w:rFonts w:hint="eastAsia" w:eastAsia="仿宋_GB2312"/>
          <w:sz w:val="32"/>
          <w:szCs w:val="32"/>
        </w:rPr>
        <w:t>”</w:t>
      </w:r>
      <w:r>
        <w:rPr>
          <w:rFonts w:eastAsia="仿宋_GB2312"/>
          <w:sz w:val="32"/>
          <w:szCs w:val="32"/>
        </w:rPr>
        <w:t>的组织管理模式，形成分工合理、管理规范的试点建设日常工作机制，加强各产业间、各部门、各层级协同联合，凝聚组织合力，及时协调解决重大困难和问题，保障试点各项工作顺利开展。</w:t>
      </w:r>
    </w:p>
    <w:p>
      <w:pPr>
        <w:keepNext/>
        <w:keepLines/>
        <w:numPr>
          <w:ilvl w:val="1"/>
          <w:numId w:val="0"/>
        </w:numPr>
        <w:spacing w:line="600" w:lineRule="exact"/>
        <w:ind w:firstLine="643" w:firstLineChars="200"/>
        <w:jc w:val="left"/>
        <w:outlineLvl w:val="0"/>
        <w:rPr>
          <w:rFonts w:ascii="楷体_GB2312" w:eastAsia="楷体_GB2312"/>
          <w:b/>
          <w:bCs/>
          <w:kern w:val="44"/>
          <w:sz w:val="32"/>
          <w:szCs w:val="32"/>
        </w:rPr>
      </w:pPr>
      <w:r>
        <w:rPr>
          <w:rFonts w:hint="eastAsia" w:ascii="楷体_GB2312" w:eastAsia="楷体_GB2312"/>
          <w:b/>
          <w:bCs/>
          <w:kern w:val="44"/>
          <w:sz w:val="32"/>
          <w:szCs w:val="32"/>
        </w:rPr>
        <w:t>（二）机制保障</w:t>
      </w:r>
    </w:p>
    <w:p>
      <w:pPr>
        <w:spacing w:line="600" w:lineRule="exact"/>
        <w:ind w:firstLine="640" w:firstLineChars="200"/>
        <w:rPr>
          <w:rFonts w:eastAsia="仿宋_GB2312"/>
          <w:sz w:val="32"/>
          <w:szCs w:val="32"/>
        </w:rPr>
      </w:pPr>
      <w:r>
        <w:rPr>
          <w:rFonts w:eastAsia="仿宋_GB2312"/>
          <w:sz w:val="32"/>
          <w:szCs w:val="32"/>
        </w:rPr>
        <w:t>建立试点目标责任制。把试点建设目标任务切实落实到各部门，做到层层分解目标与任务，自上而下统一管理，分解各项指标任务，具体分解到责任部门、责任单位和责任人。建立试点建设监督考核机制，开展</w:t>
      </w:r>
      <w:r>
        <w:rPr>
          <w:rFonts w:hint="eastAsia" w:eastAsia="仿宋_GB2312"/>
          <w:sz w:val="32"/>
          <w:szCs w:val="32"/>
        </w:rPr>
        <w:t>“</w:t>
      </w:r>
      <w:r>
        <w:rPr>
          <w:rFonts w:eastAsia="仿宋_GB2312"/>
          <w:sz w:val="32"/>
          <w:szCs w:val="32"/>
        </w:rPr>
        <w:t>事前安排、事中考评督导、事后评价</w:t>
      </w:r>
      <w:r>
        <w:rPr>
          <w:rFonts w:hint="eastAsia" w:eastAsia="仿宋_GB2312"/>
          <w:sz w:val="32"/>
          <w:szCs w:val="32"/>
        </w:rPr>
        <w:t>”</w:t>
      </w:r>
      <w:r>
        <w:rPr>
          <w:rFonts w:eastAsia="仿宋_GB2312"/>
          <w:sz w:val="32"/>
          <w:szCs w:val="32"/>
        </w:rPr>
        <w:t>。试点领导小组对试点实施情况定期开展督促检查，及时评估责任主体任务指标完成情况，推进试点建设工作顺利实施。</w:t>
      </w:r>
    </w:p>
    <w:p>
      <w:pPr>
        <w:keepNext/>
        <w:keepLines/>
        <w:numPr>
          <w:ilvl w:val="1"/>
          <w:numId w:val="0"/>
        </w:numPr>
        <w:spacing w:line="600" w:lineRule="exact"/>
        <w:ind w:firstLine="643" w:firstLineChars="200"/>
        <w:jc w:val="left"/>
        <w:outlineLvl w:val="0"/>
        <w:rPr>
          <w:rFonts w:ascii="楷体_GB2312" w:eastAsia="楷体_GB2312"/>
          <w:b/>
          <w:bCs/>
          <w:kern w:val="44"/>
          <w:sz w:val="32"/>
          <w:szCs w:val="32"/>
        </w:rPr>
      </w:pPr>
      <w:r>
        <w:rPr>
          <w:rFonts w:hint="eastAsia" w:ascii="楷体_GB2312" w:eastAsia="楷体_GB2312"/>
          <w:b/>
          <w:bCs/>
          <w:kern w:val="44"/>
          <w:sz w:val="32"/>
          <w:szCs w:val="32"/>
        </w:rPr>
        <w:t>（三）技术保障</w:t>
      </w:r>
    </w:p>
    <w:p>
      <w:pPr>
        <w:spacing w:line="600" w:lineRule="exact"/>
        <w:ind w:firstLine="640" w:firstLineChars="200"/>
        <w:rPr>
          <w:rFonts w:eastAsia="仿宋_GB2312"/>
          <w:sz w:val="32"/>
          <w:szCs w:val="32"/>
        </w:rPr>
      </w:pPr>
      <w:r>
        <w:rPr>
          <w:rFonts w:eastAsia="仿宋_GB2312"/>
          <w:sz w:val="32"/>
          <w:szCs w:val="32"/>
        </w:rPr>
        <w:t>健全技术保障体系。建立健全科技创新发展机制，建立科技创新资金保障、创新技术人才支撑体系建设、创新科创项目投资与管理、创新科技成果转化激励等配套机制。通过社会招聘和国资委培优计划，广泛吸纳专业领域人才，壮大人才队伍，畅通晋升奖励渠道，完善培养机制，鼓励激励人才队伍积极创新研发。围绕重点领域、重点产业的重大科技攻关项目，切实加大高层次高技能人才培养、引进和使用力度，建立减污降碳协同创新专家队伍，建立</w:t>
      </w:r>
      <w:r>
        <w:rPr>
          <w:rFonts w:hint="eastAsia" w:eastAsia="仿宋_GB2312"/>
          <w:sz w:val="32"/>
          <w:szCs w:val="32"/>
        </w:rPr>
        <w:t>“</w:t>
      </w:r>
      <w:r>
        <w:rPr>
          <w:rFonts w:eastAsia="仿宋_GB2312"/>
          <w:sz w:val="32"/>
          <w:szCs w:val="32"/>
        </w:rPr>
        <w:t>内外联动</w:t>
      </w:r>
      <w:r>
        <w:rPr>
          <w:rFonts w:hint="eastAsia" w:eastAsia="仿宋_GB2312"/>
          <w:sz w:val="32"/>
          <w:szCs w:val="32"/>
        </w:rPr>
        <w:t>”</w:t>
      </w:r>
      <w:r>
        <w:rPr>
          <w:rFonts w:eastAsia="仿宋_GB2312"/>
          <w:sz w:val="32"/>
          <w:szCs w:val="32"/>
        </w:rPr>
        <w:t>机制，加强</w:t>
      </w:r>
      <w:r>
        <w:rPr>
          <w:rFonts w:hint="eastAsia" w:eastAsia="仿宋_GB2312"/>
          <w:sz w:val="32"/>
          <w:szCs w:val="32"/>
        </w:rPr>
        <w:t>“</w:t>
      </w:r>
      <w:r>
        <w:rPr>
          <w:rFonts w:eastAsia="仿宋_GB2312"/>
          <w:sz w:val="32"/>
          <w:szCs w:val="32"/>
        </w:rPr>
        <w:t>内脑</w:t>
      </w:r>
      <w:r>
        <w:rPr>
          <w:rFonts w:hint="eastAsia" w:eastAsia="仿宋_GB2312"/>
          <w:sz w:val="32"/>
          <w:szCs w:val="32"/>
        </w:rPr>
        <w:t>”</w:t>
      </w:r>
      <w:r>
        <w:rPr>
          <w:rFonts w:eastAsia="仿宋_GB2312"/>
          <w:sz w:val="32"/>
          <w:szCs w:val="32"/>
        </w:rPr>
        <w:t>、</w:t>
      </w:r>
      <w:r>
        <w:rPr>
          <w:rFonts w:hint="eastAsia" w:eastAsia="仿宋_GB2312"/>
          <w:sz w:val="32"/>
          <w:szCs w:val="32"/>
        </w:rPr>
        <w:t>“</w:t>
      </w:r>
      <w:r>
        <w:rPr>
          <w:rFonts w:eastAsia="仿宋_GB2312"/>
          <w:sz w:val="32"/>
          <w:szCs w:val="32"/>
        </w:rPr>
        <w:t>外脑</w:t>
      </w:r>
      <w:r>
        <w:rPr>
          <w:rFonts w:hint="eastAsia" w:eastAsia="仿宋_GB2312"/>
          <w:sz w:val="32"/>
          <w:szCs w:val="32"/>
        </w:rPr>
        <w:t>”</w:t>
      </w:r>
      <w:r>
        <w:rPr>
          <w:rFonts w:eastAsia="仿宋_GB2312"/>
          <w:sz w:val="32"/>
          <w:szCs w:val="32"/>
        </w:rPr>
        <w:t>互动循环，建立兼备人才引进与外部合作的专业化创新团队，做好实质性技术保障。</w:t>
      </w:r>
    </w:p>
    <w:p>
      <w:pPr>
        <w:keepNext/>
        <w:keepLines/>
        <w:numPr>
          <w:ilvl w:val="1"/>
          <w:numId w:val="0"/>
        </w:numPr>
        <w:spacing w:line="600" w:lineRule="exact"/>
        <w:ind w:firstLine="643" w:firstLineChars="200"/>
        <w:jc w:val="left"/>
        <w:outlineLvl w:val="0"/>
        <w:rPr>
          <w:rFonts w:ascii="楷体_GB2312" w:eastAsia="楷体_GB2312"/>
          <w:b/>
          <w:bCs/>
          <w:kern w:val="44"/>
          <w:sz w:val="32"/>
          <w:szCs w:val="32"/>
        </w:rPr>
      </w:pPr>
      <w:r>
        <w:rPr>
          <w:rFonts w:hint="eastAsia" w:ascii="楷体_GB2312" w:eastAsia="楷体_GB2312"/>
          <w:b/>
          <w:bCs/>
          <w:kern w:val="44"/>
          <w:sz w:val="32"/>
          <w:szCs w:val="32"/>
        </w:rPr>
        <w:t>（四）资金保障</w:t>
      </w:r>
    </w:p>
    <w:p>
      <w:pPr>
        <w:spacing w:line="600" w:lineRule="exact"/>
        <w:ind w:firstLine="640" w:firstLineChars="200"/>
        <w:rPr>
          <w:rFonts w:eastAsia="仿宋_GB2312"/>
          <w:sz w:val="32"/>
          <w:szCs w:val="32"/>
        </w:rPr>
      </w:pPr>
      <w:r>
        <w:rPr>
          <w:rFonts w:eastAsia="仿宋_GB2312"/>
          <w:sz w:val="32"/>
          <w:szCs w:val="32"/>
        </w:rPr>
        <w:t>强化资金统筹。设立减污降碳协同创新专项资金，优先支持减污降碳协同创新新产品新技术推广、新能源开发利用等项目。针对节能减排技术开发项目、解决关键工艺和技术的技术创新项目等，予以一定额度的资金支持和政策支持。拓宽融资渠道，推进减污降碳协同创新项目市场化进程，撬动更多社会资本进入减污降碳协同创新领域。</w:t>
      </w:r>
    </w:p>
    <w:p>
      <w:pPr>
        <w:keepNext/>
        <w:keepLines/>
        <w:numPr>
          <w:ilvl w:val="1"/>
          <w:numId w:val="0"/>
        </w:numPr>
        <w:spacing w:line="600" w:lineRule="exact"/>
        <w:ind w:firstLine="643" w:firstLineChars="200"/>
        <w:jc w:val="left"/>
        <w:outlineLvl w:val="0"/>
        <w:rPr>
          <w:rFonts w:ascii="楷体_GB2312" w:eastAsia="楷体_GB2312"/>
          <w:b/>
          <w:bCs/>
          <w:kern w:val="44"/>
          <w:sz w:val="32"/>
          <w:szCs w:val="32"/>
        </w:rPr>
      </w:pPr>
      <w:r>
        <w:rPr>
          <w:rFonts w:hint="eastAsia" w:ascii="楷体_GB2312" w:eastAsia="楷体_GB2312"/>
          <w:b/>
          <w:bCs/>
          <w:kern w:val="44"/>
          <w:sz w:val="32"/>
          <w:szCs w:val="32"/>
        </w:rPr>
        <w:t>（五）宣传保障</w:t>
      </w:r>
    </w:p>
    <w:p>
      <w:pPr>
        <w:spacing w:line="600" w:lineRule="exact"/>
        <w:ind w:firstLine="640"/>
        <w:rPr>
          <w:rFonts w:eastAsia="仿宋_GB2312"/>
          <w:color w:val="000000"/>
          <w:sz w:val="32"/>
          <w:szCs w:val="32"/>
        </w:rPr>
      </w:pPr>
      <w:r>
        <w:rPr>
          <w:rFonts w:eastAsia="仿宋_GB2312"/>
          <w:color w:val="000000"/>
          <w:sz w:val="32"/>
          <w:szCs w:val="32"/>
        </w:rPr>
        <w:t>深化宣传体系。按照</w:t>
      </w:r>
      <w:r>
        <w:rPr>
          <w:rFonts w:hint="eastAsia" w:eastAsia="仿宋_GB2312"/>
          <w:color w:val="000000"/>
          <w:sz w:val="32"/>
          <w:szCs w:val="32"/>
        </w:rPr>
        <w:t>“</w:t>
      </w:r>
      <w:r>
        <w:rPr>
          <w:rFonts w:eastAsia="仿宋_GB2312"/>
          <w:color w:val="000000"/>
          <w:sz w:val="32"/>
          <w:szCs w:val="32"/>
        </w:rPr>
        <w:t>培育集群化、提升高端化、带动品牌化</w:t>
      </w:r>
      <w:r>
        <w:rPr>
          <w:rFonts w:hint="eastAsia" w:eastAsia="仿宋_GB2312"/>
          <w:color w:val="000000"/>
          <w:sz w:val="32"/>
          <w:szCs w:val="32"/>
        </w:rPr>
        <w:t>”</w:t>
      </w:r>
      <w:r>
        <w:rPr>
          <w:rFonts w:eastAsia="仿宋_GB2312"/>
          <w:color w:val="000000"/>
          <w:sz w:val="32"/>
          <w:szCs w:val="32"/>
        </w:rPr>
        <w:t>思路，依托园区强大的科普宣教队伍、合作宣讲平台和对外接待窗口，充分利用</w:t>
      </w:r>
      <w:r>
        <w:rPr>
          <w:rFonts w:hint="eastAsia" w:eastAsia="仿宋_GB2312"/>
          <w:color w:val="000000"/>
          <w:sz w:val="32"/>
          <w:szCs w:val="32"/>
        </w:rPr>
        <w:t>“</w:t>
      </w:r>
      <w:r>
        <w:rPr>
          <w:rFonts w:eastAsia="仿宋_GB2312"/>
          <w:color w:val="000000"/>
          <w:sz w:val="32"/>
          <w:szCs w:val="32"/>
        </w:rPr>
        <w:t>两微</w:t>
      </w:r>
      <w:r>
        <w:rPr>
          <w:rFonts w:hint="eastAsia" w:eastAsia="仿宋_GB2312"/>
          <w:color w:val="000000"/>
          <w:sz w:val="32"/>
          <w:szCs w:val="32"/>
        </w:rPr>
        <w:t>”</w:t>
      </w:r>
      <w:r>
        <w:rPr>
          <w:rFonts w:eastAsia="仿宋_GB2312"/>
          <w:color w:val="000000"/>
          <w:sz w:val="32"/>
          <w:szCs w:val="32"/>
        </w:rPr>
        <w:t>平台，将广播、电视、网络新媒体等作为宣传媒介，力争在市区、国家、国际等层面，多渠道、多形式、多层次的进行宣传活动。</w:t>
      </w:r>
    </w:p>
    <w:p>
      <w:pPr>
        <w:spacing w:line="600" w:lineRule="exact"/>
        <w:ind w:firstLine="640"/>
        <w:rPr>
          <w:rFonts w:eastAsia="仿宋_GB2312"/>
          <w:color w:val="000000"/>
          <w:sz w:val="32"/>
          <w:szCs w:val="32"/>
        </w:rPr>
      </w:pPr>
      <w:r>
        <w:rPr>
          <w:rFonts w:eastAsia="仿宋_GB2312"/>
          <w:color w:val="000000"/>
          <w:sz w:val="32"/>
          <w:szCs w:val="32"/>
        </w:rPr>
        <w:t>加强宣传引导。组织开展减污降碳协同增效业务培训，提升相关部门、企业管理人员宣传能力水平。利用六五环境日、全国低碳日、全国节能宣传周等广泛开展丰富多样的减污降碳教育和协同创新宣传活动，树立减污降碳先进典型，发挥榜样示范和价值引领作用。</w:t>
      </w:r>
    </w:p>
    <w:p>
      <w:pPr>
        <w:spacing w:line="600" w:lineRule="exact"/>
        <w:ind w:firstLine="640"/>
        <w:rPr>
          <w:rFonts w:eastAsia="仿宋_GB2312"/>
          <w:color w:val="000000"/>
          <w:sz w:val="32"/>
          <w:szCs w:val="32"/>
        </w:rPr>
      </w:pPr>
      <w:r>
        <w:rPr>
          <w:rFonts w:eastAsia="仿宋_GB2312"/>
          <w:color w:val="000000"/>
          <w:sz w:val="32"/>
          <w:szCs w:val="32"/>
        </w:rPr>
        <w:t>强化宣传成果。积极发布减污降碳协同创新试点成果和标杆案例，展示减污降碳协同创新试点进展和实践成果，扩大试点宣传效应。积极组织公众参与到减污降碳行动中来，营造浓厚的</w:t>
      </w:r>
      <w:r>
        <w:rPr>
          <w:rFonts w:hint="eastAsia" w:eastAsia="仿宋_GB2312"/>
          <w:color w:val="000000"/>
          <w:sz w:val="32"/>
          <w:szCs w:val="32"/>
        </w:rPr>
        <w:t>“</w:t>
      </w:r>
      <w:r>
        <w:rPr>
          <w:rFonts w:eastAsia="仿宋_GB2312"/>
          <w:color w:val="000000"/>
          <w:sz w:val="32"/>
          <w:szCs w:val="32"/>
        </w:rPr>
        <w:t>减污降碳</w:t>
      </w:r>
      <w:r>
        <w:rPr>
          <w:rFonts w:hint="eastAsia" w:eastAsia="仿宋_GB2312"/>
          <w:color w:val="000000"/>
          <w:sz w:val="32"/>
          <w:szCs w:val="32"/>
        </w:rPr>
        <w:t>”</w:t>
      </w:r>
      <w:r>
        <w:rPr>
          <w:rFonts w:eastAsia="仿宋_GB2312"/>
          <w:color w:val="000000"/>
          <w:sz w:val="32"/>
          <w:szCs w:val="32"/>
        </w:rPr>
        <w:t>氛围。</w:t>
      </w:r>
    </w:p>
    <w:p>
      <w:pPr>
        <w:spacing w:line="600" w:lineRule="exact"/>
        <w:rPr>
          <w:rFonts w:eastAsia="仿宋_GB2312"/>
          <w:color w:val="000000"/>
          <w:sz w:val="32"/>
          <w:szCs w:val="32"/>
        </w:rPr>
      </w:pPr>
    </w:p>
    <w:p>
      <w:pPr>
        <w:widowControl/>
        <w:spacing w:line="600" w:lineRule="exact"/>
        <w:ind w:left="1910" w:leftChars="300" w:hanging="1280" w:hangingChars="400"/>
        <w:rPr>
          <w:rFonts w:eastAsia="仿宋_GB2312"/>
          <w:sz w:val="32"/>
          <w:szCs w:val="32"/>
        </w:rPr>
        <w:sectPr>
          <w:footerReference r:id="rId3" w:type="default"/>
          <w:footerReference r:id="rId4" w:type="even"/>
          <w:pgSz w:w="11906" w:h="16838"/>
          <w:pgMar w:top="1418" w:right="1474" w:bottom="1418" w:left="1588" w:header="851" w:footer="992" w:gutter="0"/>
          <w:cols w:space="720" w:num="1"/>
          <w:docGrid w:type="lines" w:linePitch="312" w:charSpace="0"/>
        </w:sectPr>
      </w:pPr>
      <w:r>
        <w:rPr>
          <w:rFonts w:eastAsia="仿宋_GB2312"/>
          <w:sz w:val="32"/>
          <w:szCs w:val="32"/>
        </w:rPr>
        <w:t>附件：北京市朝阳循环经济产业园减污降碳协同创新试点任务清单</w:t>
      </w:r>
    </w:p>
    <w:p>
      <w:pPr>
        <w:rPr>
          <w:rFonts w:eastAsia="黑体"/>
          <w:bCs/>
          <w:color w:val="000000"/>
          <w:kern w:val="44"/>
          <w:sz w:val="32"/>
          <w:szCs w:val="44"/>
        </w:rPr>
      </w:pPr>
      <w:bookmarkStart w:id="15" w:name="_Toc167981335"/>
      <w:r>
        <w:rPr>
          <w:rFonts w:eastAsia="黑体"/>
          <w:bCs/>
          <w:color w:val="000000"/>
          <w:kern w:val="44"/>
          <w:sz w:val="32"/>
          <w:szCs w:val="44"/>
        </w:rPr>
        <w:t>附件</w:t>
      </w:r>
      <w:bookmarkEnd w:id="15"/>
    </w:p>
    <w:p>
      <w:pPr>
        <w:snapToGrid w:val="0"/>
        <w:spacing w:line="600" w:lineRule="exact"/>
        <w:jc w:val="center"/>
        <w:rPr>
          <w:rFonts w:eastAsia="仿宋_GB2312"/>
          <w:b/>
          <w:bCs/>
          <w:color w:val="000000"/>
          <w:sz w:val="32"/>
          <w:szCs w:val="32"/>
        </w:rPr>
      </w:pPr>
      <w:r>
        <w:rPr>
          <w:rFonts w:eastAsia="仿宋_GB2312"/>
          <w:b/>
          <w:bCs/>
          <w:color w:val="000000"/>
          <w:sz w:val="32"/>
          <w:szCs w:val="32"/>
        </w:rPr>
        <w:t>产业园区减污降碳协同创新协同任务清单（2024年-2026年）</w:t>
      </w:r>
    </w:p>
    <w:tbl>
      <w:tblPr>
        <w:tblStyle w:val="6"/>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676"/>
        <w:gridCol w:w="1867"/>
        <w:gridCol w:w="7287"/>
        <w:gridCol w:w="1027"/>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 w:hRule="atLeast"/>
          <w:tblHeader/>
        </w:trPr>
        <w:tc>
          <w:tcPr>
            <w:tcW w:w="943" w:type="dxa"/>
            <w:vAlign w:val="center"/>
          </w:tcPr>
          <w:p>
            <w:pPr>
              <w:snapToGrid w:val="0"/>
              <w:spacing w:line="360" w:lineRule="exact"/>
              <w:jc w:val="center"/>
              <w:rPr>
                <w:rFonts w:eastAsia="仿宋_GB2312"/>
                <w:b/>
                <w:bCs/>
                <w:color w:val="000000"/>
                <w:sz w:val="28"/>
                <w:szCs w:val="28"/>
              </w:rPr>
            </w:pPr>
            <w:r>
              <w:rPr>
                <w:rFonts w:eastAsia="仿宋_GB2312"/>
                <w:b/>
                <w:bCs/>
                <w:color w:val="000000"/>
                <w:sz w:val="28"/>
                <w:szCs w:val="28"/>
              </w:rPr>
              <w:t>序号</w:t>
            </w:r>
          </w:p>
        </w:tc>
        <w:tc>
          <w:tcPr>
            <w:tcW w:w="3543" w:type="dxa"/>
            <w:gridSpan w:val="2"/>
            <w:vAlign w:val="center"/>
          </w:tcPr>
          <w:p>
            <w:pPr>
              <w:snapToGrid w:val="0"/>
              <w:spacing w:line="360" w:lineRule="exact"/>
              <w:jc w:val="center"/>
              <w:rPr>
                <w:rFonts w:eastAsia="仿宋_GB2312"/>
                <w:b/>
                <w:bCs/>
                <w:color w:val="000000"/>
                <w:sz w:val="28"/>
                <w:szCs w:val="28"/>
              </w:rPr>
            </w:pPr>
            <w:r>
              <w:rPr>
                <w:rFonts w:eastAsia="仿宋_GB2312"/>
                <w:b/>
                <w:bCs/>
                <w:color w:val="000000"/>
                <w:sz w:val="28"/>
                <w:szCs w:val="28"/>
              </w:rPr>
              <w:t>任务名称</w:t>
            </w:r>
          </w:p>
        </w:tc>
        <w:tc>
          <w:tcPr>
            <w:tcW w:w="7287" w:type="dxa"/>
            <w:vAlign w:val="center"/>
          </w:tcPr>
          <w:p>
            <w:pPr>
              <w:snapToGrid w:val="0"/>
              <w:spacing w:line="360" w:lineRule="exact"/>
              <w:jc w:val="center"/>
              <w:rPr>
                <w:rFonts w:eastAsia="仿宋_GB2312"/>
                <w:b/>
                <w:bCs/>
                <w:color w:val="000000"/>
                <w:sz w:val="28"/>
                <w:szCs w:val="28"/>
              </w:rPr>
            </w:pPr>
            <w:r>
              <w:rPr>
                <w:rFonts w:eastAsia="仿宋_GB2312"/>
                <w:b/>
                <w:bCs/>
                <w:color w:val="000000"/>
                <w:sz w:val="28"/>
                <w:szCs w:val="28"/>
              </w:rPr>
              <w:t>主要内容</w:t>
            </w:r>
          </w:p>
        </w:tc>
        <w:tc>
          <w:tcPr>
            <w:tcW w:w="1027" w:type="dxa"/>
            <w:vAlign w:val="center"/>
          </w:tcPr>
          <w:p>
            <w:pPr>
              <w:snapToGrid w:val="0"/>
              <w:spacing w:line="360" w:lineRule="exact"/>
              <w:jc w:val="center"/>
              <w:rPr>
                <w:rFonts w:eastAsia="仿宋_GB2312"/>
                <w:b/>
                <w:bCs/>
                <w:color w:val="000000"/>
                <w:sz w:val="28"/>
                <w:szCs w:val="28"/>
              </w:rPr>
            </w:pPr>
            <w:r>
              <w:rPr>
                <w:rFonts w:eastAsia="仿宋_GB2312"/>
                <w:b/>
                <w:bCs/>
                <w:color w:val="000000"/>
                <w:sz w:val="28"/>
                <w:szCs w:val="28"/>
              </w:rPr>
              <w:t>责任单位</w:t>
            </w:r>
          </w:p>
        </w:tc>
        <w:tc>
          <w:tcPr>
            <w:tcW w:w="1192" w:type="dxa"/>
            <w:vAlign w:val="center"/>
          </w:tcPr>
          <w:p>
            <w:pPr>
              <w:snapToGrid w:val="0"/>
              <w:spacing w:line="360" w:lineRule="exact"/>
              <w:jc w:val="center"/>
              <w:rPr>
                <w:rFonts w:eastAsia="仿宋_GB2312"/>
                <w:b/>
                <w:bCs/>
                <w:color w:val="000000"/>
                <w:sz w:val="28"/>
                <w:szCs w:val="28"/>
              </w:rPr>
            </w:pPr>
            <w:r>
              <w:rPr>
                <w:rFonts w:eastAsia="仿宋_GB2312"/>
                <w:b/>
                <w:bCs/>
                <w:color w:val="000000"/>
                <w:sz w:val="28"/>
                <w:szCs w:val="28"/>
              </w:rPr>
              <w:t>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trPr>
        <w:tc>
          <w:tcPr>
            <w:tcW w:w="943" w:type="dxa"/>
            <w:vAlign w:val="center"/>
          </w:tcPr>
          <w:p>
            <w:pPr>
              <w:numPr>
                <w:ilvl w:val="0"/>
                <w:numId w:val="3"/>
              </w:numPr>
              <w:snapToGrid w:val="0"/>
              <w:spacing w:line="360" w:lineRule="exact"/>
              <w:jc w:val="center"/>
              <w:rPr>
                <w:rFonts w:eastAsia="仿宋_GB2312"/>
                <w:color w:val="000000"/>
                <w:sz w:val="28"/>
                <w:szCs w:val="28"/>
              </w:rPr>
            </w:pPr>
          </w:p>
        </w:tc>
        <w:tc>
          <w:tcPr>
            <w:tcW w:w="1676" w:type="dxa"/>
            <w:vMerge w:val="restart"/>
            <w:vAlign w:val="center"/>
          </w:tcPr>
          <w:p>
            <w:pPr>
              <w:snapToGrid w:val="0"/>
              <w:spacing w:line="360" w:lineRule="exact"/>
              <w:jc w:val="center"/>
              <w:rPr>
                <w:rFonts w:eastAsia="仿宋_GB2312"/>
                <w:color w:val="000000"/>
                <w:sz w:val="28"/>
                <w:szCs w:val="28"/>
              </w:rPr>
            </w:pPr>
            <w:r>
              <w:rPr>
                <w:rFonts w:eastAsia="仿宋_GB2312"/>
                <w:color w:val="000000"/>
                <w:sz w:val="28"/>
                <w:szCs w:val="28"/>
              </w:rPr>
              <w:t>基础补链—强弱项、补空白，扩充园区污碳减排容量</w:t>
            </w:r>
          </w:p>
        </w:tc>
        <w:tc>
          <w:tcPr>
            <w:tcW w:w="1867" w:type="dxa"/>
            <w:vAlign w:val="center"/>
          </w:tcPr>
          <w:p>
            <w:pPr>
              <w:snapToGrid w:val="0"/>
              <w:spacing w:line="360" w:lineRule="exact"/>
              <w:jc w:val="left"/>
              <w:rPr>
                <w:rFonts w:eastAsia="仿宋_GB2312"/>
                <w:color w:val="000000"/>
                <w:sz w:val="28"/>
                <w:szCs w:val="28"/>
              </w:rPr>
            </w:pPr>
            <w:r>
              <w:rPr>
                <w:rFonts w:eastAsia="仿宋_GB2312"/>
                <w:color w:val="000000"/>
                <w:sz w:val="28"/>
                <w:szCs w:val="28"/>
              </w:rPr>
              <w:t>提高城市运行保障能力</w:t>
            </w:r>
          </w:p>
        </w:tc>
        <w:tc>
          <w:tcPr>
            <w:tcW w:w="7287" w:type="dxa"/>
            <w:vAlign w:val="center"/>
          </w:tcPr>
          <w:p>
            <w:pPr>
              <w:snapToGrid w:val="0"/>
              <w:spacing w:line="360" w:lineRule="exact"/>
              <w:rPr>
                <w:rFonts w:eastAsia="仿宋_GB2312"/>
                <w:color w:val="000000"/>
                <w:sz w:val="28"/>
                <w:szCs w:val="28"/>
              </w:rPr>
            </w:pPr>
            <w:r>
              <w:rPr>
                <w:rFonts w:eastAsia="仿宋_GB2312"/>
                <w:color w:val="000000"/>
                <w:sz w:val="28"/>
                <w:szCs w:val="28"/>
              </w:rPr>
              <w:t>新建厨余垃圾处理、焚烧项目等城市运行保障项目。</w:t>
            </w:r>
          </w:p>
        </w:tc>
        <w:tc>
          <w:tcPr>
            <w:tcW w:w="1027" w:type="dxa"/>
            <w:vMerge w:val="restart"/>
            <w:vAlign w:val="center"/>
          </w:tcPr>
          <w:p>
            <w:pPr>
              <w:snapToGrid w:val="0"/>
              <w:spacing w:line="360" w:lineRule="exact"/>
              <w:jc w:val="center"/>
              <w:rPr>
                <w:rFonts w:eastAsia="仿宋_GB2312"/>
                <w:color w:val="000000"/>
                <w:sz w:val="28"/>
                <w:szCs w:val="28"/>
              </w:rPr>
            </w:pPr>
            <w:r>
              <w:rPr>
                <w:rFonts w:eastAsia="仿宋_GB2312"/>
                <w:color w:val="000000"/>
                <w:sz w:val="28"/>
                <w:szCs w:val="28"/>
              </w:rPr>
              <w:t>园区内各企业</w:t>
            </w:r>
          </w:p>
        </w:tc>
        <w:tc>
          <w:tcPr>
            <w:tcW w:w="1192" w:type="dxa"/>
            <w:vAlign w:val="center"/>
          </w:tcPr>
          <w:p>
            <w:pPr>
              <w:snapToGrid w:val="0"/>
              <w:spacing w:line="360" w:lineRule="exact"/>
              <w:jc w:val="center"/>
              <w:rPr>
                <w:rFonts w:eastAsia="仿宋_GB2312"/>
                <w:color w:val="000000"/>
                <w:spacing w:val="-20"/>
                <w:sz w:val="28"/>
                <w:szCs w:val="28"/>
              </w:rPr>
            </w:pPr>
            <w:r>
              <w:rPr>
                <w:rFonts w:eastAsia="仿宋_GB2312"/>
                <w:color w:val="000000"/>
                <w:spacing w:val="-20"/>
                <w:sz w:val="28"/>
                <w:szCs w:val="28"/>
              </w:rPr>
              <w:t>2026年底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3" w:type="dxa"/>
            <w:vAlign w:val="center"/>
          </w:tcPr>
          <w:p>
            <w:pPr>
              <w:numPr>
                <w:ilvl w:val="0"/>
                <w:numId w:val="3"/>
              </w:numPr>
              <w:snapToGrid w:val="0"/>
              <w:spacing w:line="360" w:lineRule="exact"/>
              <w:jc w:val="center"/>
              <w:rPr>
                <w:rFonts w:eastAsia="仿宋_GB2312"/>
                <w:color w:val="000000"/>
                <w:sz w:val="28"/>
                <w:szCs w:val="28"/>
              </w:rPr>
            </w:pPr>
          </w:p>
        </w:tc>
        <w:tc>
          <w:tcPr>
            <w:tcW w:w="1676" w:type="dxa"/>
            <w:vMerge w:val="continue"/>
            <w:vAlign w:val="center"/>
          </w:tcPr>
          <w:p>
            <w:pPr>
              <w:snapToGrid w:val="0"/>
              <w:spacing w:line="360" w:lineRule="exact"/>
              <w:jc w:val="center"/>
              <w:rPr>
                <w:rFonts w:eastAsia="仿宋_GB2312"/>
                <w:color w:val="000000"/>
                <w:sz w:val="28"/>
                <w:szCs w:val="28"/>
              </w:rPr>
            </w:pPr>
          </w:p>
        </w:tc>
        <w:tc>
          <w:tcPr>
            <w:tcW w:w="1867" w:type="dxa"/>
            <w:vAlign w:val="center"/>
          </w:tcPr>
          <w:p>
            <w:pPr>
              <w:snapToGrid w:val="0"/>
              <w:spacing w:line="360" w:lineRule="exact"/>
              <w:jc w:val="left"/>
              <w:rPr>
                <w:rFonts w:eastAsia="仿宋_GB2312"/>
                <w:color w:val="000000"/>
                <w:sz w:val="28"/>
                <w:szCs w:val="28"/>
              </w:rPr>
            </w:pPr>
            <w:r>
              <w:rPr>
                <w:rFonts w:eastAsia="仿宋_GB2312"/>
                <w:color w:val="000000"/>
                <w:sz w:val="28"/>
                <w:szCs w:val="28"/>
              </w:rPr>
              <w:t>提升现有设施处理能力</w:t>
            </w:r>
          </w:p>
        </w:tc>
        <w:tc>
          <w:tcPr>
            <w:tcW w:w="7287" w:type="dxa"/>
            <w:vAlign w:val="center"/>
          </w:tcPr>
          <w:p>
            <w:pPr>
              <w:snapToGrid w:val="0"/>
              <w:spacing w:line="360" w:lineRule="exact"/>
              <w:rPr>
                <w:rFonts w:eastAsia="仿宋_GB2312"/>
                <w:color w:val="000000"/>
                <w:sz w:val="28"/>
                <w:szCs w:val="28"/>
              </w:rPr>
            </w:pPr>
            <w:r>
              <w:rPr>
                <w:rFonts w:eastAsia="仿宋_GB2312"/>
                <w:color w:val="000000"/>
                <w:sz w:val="28"/>
                <w:szCs w:val="28"/>
              </w:rPr>
              <w:t>提升渗沥液工程、沼气发电设施等现有设施处理能力。</w:t>
            </w:r>
          </w:p>
        </w:tc>
        <w:tc>
          <w:tcPr>
            <w:tcW w:w="1027" w:type="dxa"/>
            <w:vMerge w:val="continue"/>
          </w:tcPr>
          <w:p>
            <w:pPr>
              <w:snapToGrid w:val="0"/>
              <w:spacing w:line="360" w:lineRule="exact"/>
              <w:rPr>
                <w:rFonts w:eastAsia="仿宋_GB2312"/>
                <w:color w:val="000000"/>
                <w:sz w:val="28"/>
                <w:szCs w:val="28"/>
              </w:rPr>
            </w:pPr>
          </w:p>
        </w:tc>
        <w:tc>
          <w:tcPr>
            <w:tcW w:w="1192" w:type="dxa"/>
            <w:vAlign w:val="center"/>
          </w:tcPr>
          <w:p>
            <w:pPr>
              <w:snapToGrid w:val="0"/>
              <w:spacing w:line="360" w:lineRule="exact"/>
              <w:jc w:val="center"/>
              <w:rPr>
                <w:rFonts w:eastAsia="仿宋_GB2312"/>
                <w:color w:val="000000"/>
                <w:spacing w:val="-20"/>
                <w:sz w:val="28"/>
                <w:szCs w:val="28"/>
              </w:rPr>
            </w:pPr>
            <w:r>
              <w:rPr>
                <w:rFonts w:eastAsia="仿宋_GB2312"/>
                <w:color w:val="000000"/>
                <w:spacing w:val="-20"/>
                <w:sz w:val="28"/>
                <w:szCs w:val="28"/>
              </w:rPr>
              <w:t>2026年底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943" w:type="dxa"/>
            <w:vAlign w:val="center"/>
          </w:tcPr>
          <w:p>
            <w:pPr>
              <w:numPr>
                <w:ilvl w:val="0"/>
                <w:numId w:val="3"/>
              </w:numPr>
              <w:snapToGrid w:val="0"/>
              <w:spacing w:line="360" w:lineRule="exact"/>
              <w:jc w:val="center"/>
              <w:rPr>
                <w:rFonts w:eastAsia="仿宋_GB2312"/>
                <w:color w:val="000000"/>
                <w:sz w:val="28"/>
                <w:szCs w:val="28"/>
              </w:rPr>
            </w:pPr>
          </w:p>
        </w:tc>
        <w:tc>
          <w:tcPr>
            <w:tcW w:w="1676" w:type="dxa"/>
            <w:vMerge w:val="restart"/>
            <w:vAlign w:val="center"/>
          </w:tcPr>
          <w:p>
            <w:pPr>
              <w:snapToGrid w:val="0"/>
              <w:spacing w:line="360" w:lineRule="exact"/>
              <w:jc w:val="center"/>
              <w:rPr>
                <w:rFonts w:eastAsia="仿宋_GB2312"/>
                <w:color w:val="000000"/>
                <w:sz w:val="28"/>
                <w:szCs w:val="28"/>
              </w:rPr>
            </w:pPr>
            <w:r>
              <w:rPr>
                <w:rFonts w:eastAsia="仿宋_GB2312"/>
                <w:bCs/>
                <w:color w:val="000000"/>
                <w:sz w:val="28"/>
                <w:szCs w:val="28"/>
              </w:rPr>
              <w:t>协同塑链—延长度、强协同，增强园区污碳协同路径</w:t>
            </w:r>
          </w:p>
        </w:tc>
        <w:tc>
          <w:tcPr>
            <w:tcW w:w="1867" w:type="dxa"/>
            <w:vAlign w:val="center"/>
          </w:tcPr>
          <w:p>
            <w:pPr>
              <w:snapToGrid w:val="0"/>
              <w:spacing w:line="360" w:lineRule="exact"/>
              <w:jc w:val="left"/>
              <w:rPr>
                <w:rFonts w:eastAsia="仿宋_GB2312"/>
                <w:color w:val="000000"/>
                <w:sz w:val="28"/>
                <w:szCs w:val="28"/>
              </w:rPr>
            </w:pPr>
            <w:r>
              <w:rPr>
                <w:rFonts w:eastAsia="仿宋_GB2312"/>
                <w:color w:val="000000"/>
                <w:sz w:val="28"/>
                <w:szCs w:val="28"/>
              </w:rPr>
              <w:t>延伸园区循环利用产业链</w:t>
            </w:r>
          </w:p>
        </w:tc>
        <w:tc>
          <w:tcPr>
            <w:tcW w:w="7287" w:type="dxa"/>
            <w:vAlign w:val="center"/>
          </w:tcPr>
          <w:p>
            <w:pPr>
              <w:snapToGrid w:val="0"/>
              <w:spacing w:line="360" w:lineRule="exact"/>
              <w:rPr>
                <w:rFonts w:eastAsia="仿宋_GB2312"/>
                <w:color w:val="000000"/>
                <w:sz w:val="28"/>
                <w:szCs w:val="28"/>
              </w:rPr>
            </w:pPr>
            <w:r>
              <w:rPr>
                <w:rFonts w:eastAsia="仿宋_GB2312"/>
                <w:color w:val="000000"/>
                <w:sz w:val="28"/>
                <w:szCs w:val="28"/>
              </w:rPr>
              <w:t>延伸沼气利用链条，建立向园区外部供再生产品、绿色能源的</w:t>
            </w:r>
            <w:r>
              <w:rPr>
                <w:rFonts w:hint="eastAsia" w:eastAsia="仿宋_GB2312"/>
                <w:color w:val="000000"/>
                <w:sz w:val="28"/>
                <w:szCs w:val="28"/>
              </w:rPr>
              <w:t>“</w:t>
            </w:r>
            <w:r>
              <w:rPr>
                <w:rFonts w:eastAsia="仿宋_GB2312"/>
                <w:color w:val="000000"/>
                <w:sz w:val="28"/>
                <w:szCs w:val="28"/>
              </w:rPr>
              <w:t>企业小循环，园区中循环，区域大循环</w:t>
            </w:r>
            <w:r>
              <w:rPr>
                <w:rFonts w:hint="eastAsia" w:eastAsia="仿宋_GB2312"/>
                <w:color w:val="000000"/>
                <w:sz w:val="28"/>
                <w:szCs w:val="28"/>
              </w:rPr>
              <w:t>”</w:t>
            </w:r>
            <w:r>
              <w:rPr>
                <w:rFonts w:eastAsia="仿宋_GB2312"/>
                <w:color w:val="000000"/>
                <w:sz w:val="28"/>
                <w:szCs w:val="28"/>
              </w:rPr>
              <w:t>的</w:t>
            </w:r>
            <w:r>
              <w:rPr>
                <w:rFonts w:hint="eastAsia" w:eastAsia="仿宋_GB2312"/>
                <w:color w:val="000000"/>
                <w:sz w:val="28"/>
                <w:szCs w:val="28"/>
              </w:rPr>
              <w:t>“</w:t>
            </w:r>
            <w:r>
              <w:rPr>
                <w:rFonts w:eastAsia="仿宋_GB2312"/>
                <w:color w:val="000000"/>
                <w:sz w:val="28"/>
                <w:szCs w:val="28"/>
              </w:rPr>
              <w:t>同心圆</w:t>
            </w:r>
            <w:r>
              <w:rPr>
                <w:rFonts w:hint="eastAsia" w:eastAsia="仿宋_GB2312"/>
                <w:color w:val="000000"/>
                <w:sz w:val="28"/>
                <w:szCs w:val="28"/>
              </w:rPr>
              <w:t>”</w:t>
            </w:r>
            <w:r>
              <w:rPr>
                <w:rFonts w:eastAsia="仿宋_GB2312"/>
                <w:color w:val="000000"/>
                <w:sz w:val="28"/>
                <w:szCs w:val="28"/>
              </w:rPr>
              <w:t>减污降碳区域协同创新模式。</w:t>
            </w:r>
          </w:p>
        </w:tc>
        <w:tc>
          <w:tcPr>
            <w:tcW w:w="1027" w:type="dxa"/>
            <w:vMerge w:val="continue"/>
          </w:tcPr>
          <w:p>
            <w:pPr>
              <w:snapToGrid w:val="0"/>
              <w:spacing w:line="360" w:lineRule="exact"/>
              <w:rPr>
                <w:rFonts w:eastAsia="仿宋_GB2312"/>
                <w:color w:val="000000"/>
                <w:sz w:val="28"/>
                <w:szCs w:val="28"/>
              </w:rPr>
            </w:pPr>
          </w:p>
        </w:tc>
        <w:tc>
          <w:tcPr>
            <w:tcW w:w="1192" w:type="dxa"/>
            <w:vAlign w:val="center"/>
          </w:tcPr>
          <w:p>
            <w:pPr>
              <w:snapToGrid w:val="0"/>
              <w:spacing w:line="360" w:lineRule="exact"/>
              <w:jc w:val="center"/>
              <w:rPr>
                <w:rFonts w:eastAsia="仿宋_GB2312"/>
                <w:color w:val="000000"/>
                <w:spacing w:val="-20"/>
                <w:sz w:val="28"/>
                <w:szCs w:val="28"/>
              </w:rPr>
            </w:pPr>
            <w:r>
              <w:rPr>
                <w:rFonts w:eastAsia="仿宋_GB2312"/>
                <w:color w:val="000000"/>
                <w:spacing w:val="-20"/>
                <w:sz w:val="28"/>
                <w:szCs w:val="28"/>
              </w:rPr>
              <w:t>2026年底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trPr>
        <w:tc>
          <w:tcPr>
            <w:tcW w:w="943" w:type="dxa"/>
            <w:vAlign w:val="center"/>
          </w:tcPr>
          <w:p>
            <w:pPr>
              <w:numPr>
                <w:ilvl w:val="0"/>
                <w:numId w:val="3"/>
              </w:numPr>
              <w:snapToGrid w:val="0"/>
              <w:spacing w:line="360" w:lineRule="exact"/>
              <w:jc w:val="center"/>
              <w:rPr>
                <w:rFonts w:eastAsia="仿宋_GB2312"/>
                <w:color w:val="000000"/>
                <w:sz w:val="28"/>
                <w:szCs w:val="28"/>
              </w:rPr>
            </w:pPr>
          </w:p>
        </w:tc>
        <w:tc>
          <w:tcPr>
            <w:tcW w:w="1676" w:type="dxa"/>
            <w:vMerge w:val="continue"/>
            <w:vAlign w:val="center"/>
          </w:tcPr>
          <w:p>
            <w:pPr>
              <w:snapToGrid w:val="0"/>
              <w:spacing w:line="360" w:lineRule="exact"/>
              <w:jc w:val="center"/>
              <w:rPr>
                <w:rFonts w:eastAsia="仿宋_GB2312"/>
                <w:bCs/>
                <w:color w:val="000000"/>
                <w:sz w:val="28"/>
                <w:szCs w:val="28"/>
              </w:rPr>
            </w:pPr>
          </w:p>
        </w:tc>
        <w:tc>
          <w:tcPr>
            <w:tcW w:w="1867" w:type="dxa"/>
            <w:vAlign w:val="center"/>
          </w:tcPr>
          <w:p>
            <w:pPr>
              <w:snapToGrid w:val="0"/>
              <w:spacing w:line="360" w:lineRule="exact"/>
              <w:jc w:val="left"/>
              <w:rPr>
                <w:rFonts w:eastAsia="仿宋_GB2312"/>
                <w:color w:val="000000"/>
                <w:sz w:val="28"/>
                <w:szCs w:val="28"/>
              </w:rPr>
            </w:pPr>
            <w:r>
              <w:rPr>
                <w:rFonts w:eastAsia="仿宋_GB2312"/>
                <w:color w:val="000000"/>
                <w:sz w:val="28"/>
                <w:szCs w:val="28"/>
              </w:rPr>
              <w:t>增强园区综合利用协同度</w:t>
            </w:r>
          </w:p>
        </w:tc>
        <w:tc>
          <w:tcPr>
            <w:tcW w:w="7287" w:type="dxa"/>
            <w:vAlign w:val="center"/>
          </w:tcPr>
          <w:p>
            <w:pPr>
              <w:snapToGrid w:val="0"/>
              <w:spacing w:line="360" w:lineRule="exact"/>
              <w:rPr>
                <w:rFonts w:eastAsia="仿宋_GB2312"/>
                <w:color w:val="000000"/>
                <w:sz w:val="28"/>
                <w:szCs w:val="28"/>
              </w:rPr>
            </w:pPr>
            <w:r>
              <w:rPr>
                <w:rFonts w:eastAsia="仿宋_GB2312"/>
                <w:color w:val="000000"/>
                <w:sz w:val="28"/>
                <w:szCs w:val="28"/>
              </w:rPr>
              <w:t>全面促进园区</w:t>
            </w:r>
            <w:r>
              <w:rPr>
                <w:rFonts w:hint="eastAsia" w:eastAsia="仿宋_GB2312"/>
                <w:color w:val="000000"/>
                <w:sz w:val="28"/>
                <w:szCs w:val="28"/>
              </w:rPr>
              <w:t>“</w:t>
            </w:r>
            <w:r>
              <w:rPr>
                <w:rFonts w:eastAsia="仿宋_GB2312"/>
                <w:color w:val="000000"/>
                <w:sz w:val="28"/>
                <w:szCs w:val="28"/>
              </w:rPr>
              <w:t>物质协同、能源协同、水协同</w:t>
            </w:r>
            <w:r>
              <w:rPr>
                <w:rFonts w:hint="eastAsia" w:eastAsia="仿宋_GB2312"/>
                <w:color w:val="000000"/>
                <w:sz w:val="28"/>
                <w:szCs w:val="28"/>
              </w:rPr>
              <w:t>”</w:t>
            </w:r>
            <w:r>
              <w:rPr>
                <w:rFonts w:eastAsia="仿宋_GB2312"/>
                <w:color w:val="000000"/>
                <w:sz w:val="28"/>
                <w:szCs w:val="28"/>
              </w:rPr>
              <w:t>多元协同，增强园区产业间协同强度。</w:t>
            </w:r>
          </w:p>
        </w:tc>
        <w:tc>
          <w:tcPr>
            <w:tcW w:w="1027" w:type="dxa"/>
            <w:vMerge w:val="continue"/>
          </w:tcPr>
          <w:p>
            <w:pPr>
              <w:snapToGrid w:val="0"/>
              <w:spacing w:line="360" w:lineRule="exact"/>
              <w:rPr>
                <w:rFonts w:eastAsia="仿宋_GB2312"/>
                <w:color w:val="000000"/>
                <w:sz w:val="28"/>
                <w:szCs w:val="28"/>
              </w:rPr>
            </w:pPr>
          </w:p>
        </w:tc>
        <w:tc>
          <w:tcPr>
            <w:tcW w:w="1192" w:type="dxa"/>
            <w:vAlign w:val="center"/>
          </w:tcPr>
          <w:p>
            <w:pPr>
              <w:snapToGrid w:val="0"/>
              <w:spacing w:line="360" w:lineRule="exact"/>
              <w:jc w:val="center"/>
              <w:rPr>
                <w:rFonts w:eastAsia="仿宋_GB2312"/>
                <w:color w:val="000000"/>
                <w:spacing w:val="-20"/>
                <w:sz w:val="28"/>
                <w:szCs w:val="28"/>
              </w:rPr>
            </w:pPr>
            <w:r>
              <w:rPr>
                <w:rFonts w:eastAsia="仿宋_GB2312"/>
                <w:color w:val="000000"/>
                <w:spacing w:val="-20"/>
                <w:sz w:val="28"/>
                <w:szCs w:val="28"/>
              </w:rPr>
              <w:t>2026年底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943" w:type="dxa"/>
            <w:tcBorders>
              <w:bottom w:val="single" w:color="auto" w:sz="4" w:space="0"/>
            </w:tcBorders>
            <w:vAlign w:val="center"/>
          </w:tcPr>
          <w:p>
            <w:pPr>
              <w:numPr>
                <w:ilvl w:val="0"/>
                <w:numId w:val="3"/>
              </w:numPr>
              <w:snapToGrid w:val="0"/>
              <w:spacing w:line="360" w:lineRule="exact"/>
              <w:jc w:val="center"/>
              <w:rPr>
                <w:rFonts w:eastAsia="仿宋_GB2312"/>
                <w:color w:val="000000"/>
                <w:sz w:val="28"/>
                <w:szCs w:val="28"/>
              </w:rPr>
            </w:pPr>
          </w:p>
        </w:tc>
        <w:tc>
          <w:tcPr>
            <w:tcW w:w="1676" w:type="dxa"/>
            <w:vMerge w:val="restart"/>
            <w:vAlign w:val="center"/>
          </w:tcPr>
          <w:p>
            <w:pPr>
              <w:snapToGrid w:val="0"/>
              <w:spacing w:line="360" w:lineRule="exact"/>
              <w:jc w:val="center"/>
              <w:rPr>
                <w:rFonts w:eastAsia="仿宋_GB2312"/>
                <w:color w:val="000000"/>
                <w:sz w:val="28"/>
                <w:szCs w:val="28"/>
              </w:rPr>
            </w:pPr>
            <w:r>
              <w:rPr>
                <w:rFonts w:eastAsia="仿宋_GB2312"/>
                <w:bCs/>
                <w:color w:val="000000"/>
                <w:sz w:val="28"/>
                <w:szCs w:val="28"/>
              </w:rPr>
              <w:t>技术强链—抓创新、破节点，提升园区污碳协同效能</w:t>
            </w:r>
          </w:p>
        </w:tc>
        <w:tc>
          <w:tcPr>
            <w:tcW w:w="1867" w:type="dxa"/>
            <w:tcBorders>
              <w:bottom w:val="single" w:color="auto" w:sz="4" w:space="0"/>
            </w:tcBorders>
            <w:vAlign w:val="center"/>
          </w:tcPr>
          <w:p>
            <w:pPr>
              <w:snapToGrid w:val="0"/>
              <w:spacing w:line="360" w:lineRule="exact"/>
              <w:jc w:val="left"/>
              <w:rPr>
                <w:rFonts w:eastAsia="仿宋_GB2312"/>
                <w:color w:val="000000"/>
                <w:sz w:val="28"/>
                <w:szCs w:val="28"/>
              </w:rPr>
            </w:pPr>
            <w:r>
              <w:rPr>
                <w:rFonts w:eastAsia="仿宋_GB2312"/>
                <w:color w:val="000000"/>
                <w:sz w:val="28"/>
                <w:szCs w:val="28"/>
              </w:rPr>
              <w:t>改进工艺过程优化技术</w:t>
            </w:r>
          </w:p>
        </w:tc>
        <w:tc>
          <w:tcPr>
            <w:tcW w:w="7287" w:type="dxa"/>
            <w:tcBorders>
              <w:bottom w:val="single" w:color="auto" w:sz="4" w:space="0"/>
            </w:tcBorders>
            <w:vAlign w:val="center"/>
          </w:tcPr>
          <w:p>
            <w:pPr>
              <w:snapToGrid w:val="0"/>
              <w:spacing w:line="360" w:lineRule="exact"/>
              <w:rPr>
                <w:rFonts w:eastAsia="仿宋_GB2312"/>
                <w:color w:val="000000"/>
                <w:sz w:val="28"/>
                <w:szCs w:val="28"/>
              </w:rPr>
            </w:pPr>
            <w:r>
              <w:rPr>
                <w:rFonts w:eastAsia="仿宋_GB2312"/>
                <w:color w:val="000000"/>
                <w:sz w:val="28"/>
                <w:szCs w:val="28"/>
              </w:rPr>
              <w:t>开展厨余处理工艺技术、垃圾焚烧余热锅炉清灰技术、沼气效率提升技术和建筑垃圾全生命周期低碳技术研究。</w:t>
            </w:r>
          </w:p>
        </w:tc>
        <w:tc>
          <w:tcPr>
            <w:tcW w:w="1027" w:type="dxa"/>
            <w:vMerge w:val="continue"/>
          </w:tcPr>
          <w:p>
            <w:pPr>
              <w:snapToGrid w:val="0"/>
              <w:spacing w:line="360" w:lineRule="exact"/>
              <w:rPr>
                <w:rFonts w:eastAsia="仿宋_GB2312"/>
                <w:color w:val="000000"/>
                <w:sz w:val="28"/>
                <w:szCs w:val="28"/>
              </w:rPr>
            </w:pPr>
          </w:p>
        </w:tc>
        <w:tc>
          <w:tcPr>
            <w:tcW w:w="1192" w:type="dxa"/>
            <w:tcBorders>
              <w:bottom w:val="single" w:color="auto" w:sz="4" w:space="0"/>
            </w:tcBorders>
            <w:vAlign w:val="center"/>
          </w:tcPr>
          <w:p>
            <w:pPr>
              <w:snapToGrid w:val="0"/>
              <w:spacing w:line="360" w:lineRule="exact"/>
              <w:jc w:val="center"/>
              <w:rPr>
                <w:rFonts w:eastAsia="仿宋_GB2312"/>
                <w:color w:val="000000"/>
                <w:spacing w:val="-20"/>
                <w:sz w:val="28"/>
                <w:szCs w:val="28"/>
              </w:rPr>
            </w:pPr>
            <w:r>
              <w:rPr>
                <w:rFonts w:eastAsia="仿宋_GB2312"/>
                <w:color w:val="000000"/>
                <w:spacing w:val="-20"/>
                <w:sz w:val="28"/>
                <w:szCs w:val="28"/>
              </w:rPr>
              <w:t>2026年底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943" w:type="dxa"/>
            <w:tcBorders>
              <w:bottom w:val="single" w:color="auto" w:sz="4" w:space="0"/>
            </w:tcBorders>
            <w:vAlign w:val="center"/>
          </w:tcPr>
          <w:p>
            <w:pPr>
              <w:numPr>
                <w:ilvl w:val="0"/>
                <w:numId w:val="3"/>
              </w:numPr>
              <w:snapToGrid w:val="0"/>
              <w:spacing w:line="360" w:lineRule="exact"/>
              <w:jc w:val="center"/>
              <w:rPr>
                <w:rFonts w:eastAsia="仿宋_GB2312"/>
                <w:color w:val="000000"/>
                <w:sz w:val="28"/>
                <w:szCs w:val="28"/>
              </w:rPr>
            </w:pPr>
          </w:p>
        </w:tc>
        <w:tc>
          <w:tcPr>
            <w:tcW w:w="1676" w:type="dxa"/>
            <w:vMerge w:val="continue"/>
            <w:vAlign w:val="center"/>
          </w:tcPr>
          <w:p>
            <w:pPr>
              <w:snapToGrid w:val="0"/>
              <w:spacing w:line="360" w:lineRule="exact"/>
              <w:jc w:val="center"/>
              <w:rPr>
                <w:rFonts w:eastAsia="仿宋_GB2312"/>
                <w:color w:val="000000"/>
                <w:sz w:val="28"/>
                <w:szCs w:val="28"/>
              </w:rPr>
            </w:pPr>
          </w:p>
        </w:tc>
        <w:tc>
          <w:tcPr>
            <w:tcW w:w="1867" w:type="dxa"/>
            <w:tcBorders>
              <w:bottom w:val="single" w:color="auto" w:sz="4" w:space="0"/>
            </w:tcBorders>
            <w:vAlign w:val="center"/>
          </w:tcPr>
          <w:p>
            <w:pPr>
              <w:snapToGrid w:val="0"/>
              <w:spacing w:line="360" w:lineRule="exact"/>
              <w:jc w:val="left"/>
              <w:rPr>
                <w:rFonts w:eastAsia="仿宋_GB2312"/>
                <w:color w:val="000000"/>
                <w:sz w:val="28"/>
                <w:szCs w:val="28"/>
              </w:rPr>
            </w:pPr>
            <w:r>
              <w:rPr>
                <w:rFonts w:eastAsia="仿宋_GB2312"/>
                <w:color w:val="000000"/>
                <w:sz w:val="28"/>
                <w:szCs w:val="28"/>
              </w:rPr>
              <w:t>突破资源化利用技术</w:t>
            </w:r>
          </w:p>
        </w:tc>
        <w:tc>
          <w:tcPr>
            <w:tcW w:w="7287" w:type="dxa"/>
            <w:tcBorders>
              <w:bottom w:val="single" w:color="auto" w:sz="4" w:space="0"/>
            </w:tcBorders>
            <w:vAlign w:val="center"/>
          </w:tcPr>
          <w:p>
            <w:pPr>
              <w:snapToGrid w:val="0"/>
              <w:spacing w:line="360" w:lineRule="exact"/>
              <w:rPr>
                <w:rFonts w:eastAsia="仿宋_GB2312"/>
                <w:color w:val="000000"/>
                <w:sz w:val="28"/>
                <w:szCs w:val="28"/>
              </w:rPr>
            </w:pPr>
            <w:r>
              <w:rPr>
                <w:rFonts w:eastAsia="仿宋_GB2312"/>
                <w:color w:val="000000"/>
                <w:sz w:val="28"/>
                <w:szCs w:val="28"/>
              </w:rPr>
              <w:t>推进餐厨垃圾提油技术升级改造，研发厨余有机固渣液化技术</w:t>
            </w:r>
            <w:r>
              <w:rPr>
                <w:rFonts w:hint="eastAsia" w:eastAsia="仿宋_GB2312"/>
                <w:color w:val="000000"/>
                <w:sz w:val="28"/>
                <w:szCs w:val="28"/>
              </w:rPr>
              <w:t>、</w:t>
            </w:r>
            <w:r>
              <w:rPr>
                <w:rFonts w:eastAsia="仿宋_GB2312"/>
                <w:color w:val="000000"/>
                <w:sz w:val="28"/>
                <w:szCs w:val="28"/>
              </w:rPr>
              <w:t>厨余固渣提取生物蛋白技术</w:t>
            </w:r>
            <w:r>
              <w:rPr>
                <w:rFonts w:hint="eastAsia" w:eastAsia="仿宋_GB2312"/>
                <w:color w:val="000000"/>
                <w:sz w:val="28"/>
                <w:szCs w:val="28"/>
              </w:rPr>
              <w:t>、</w:t>
            </w:r>
            <w:r>
              <w:rPr>
                <w:rFonts w:eastAsia="仿宋_GB2312"/>
                <w:color w:val="000000"/>
                <w:sz w:val="28"/>
                <w:szCs w:val="28"/>
              </w:rPr>
              <w:t>大件垃圾资源化处理技术。</w:t>
            </w:r>
          </w:p>
        </w:tc>
        <w:tc>
          <w:tcPr>
            <w:tcW w:w="1027" w:type="dxa"/>
            <w:vMerge w:val="continue"/>
          </w:tcPr>
          <w:p>
            <w:pPr>
              <w:snapToGrid w:val="0"/>
              <w:spacing w:line="360" w:lineRule="exact"/>
              <w:rPr>
                <w:rFonts w:eastAsia="仿宋_GB2312"/>
                <w:color w:val="000000"/>
                <w:sz w:val="28"/>
                <w:szCs w:val="28"/>
              </w:rPr>
            </w:pPr>
          </w:p>
        </w:tc>
        <w:tc>
          <w:tcPr>
            <w:tcW w:w="1192" w:type="dxa"/>
            <w:tcBorders>
              <w:bottom w:val="single" w:color="auto" w:sz="4" w:space="0"/>
            </w:tcBorders>
            <w:vAlign w:val="center"/>
          </w:tcPr>
          <w:p>
            <w:pPr>
              <w:snapToGrid w:val="0"/>
              <w:spacing w:line="360" w:lineRule="exact"/>
              <w:jc w:val="center"/>
              <w:rPr>
                <w:rFonts w:eastAsia="仿宋_GB2312"/>
                <w:color w:val="000000"/>
                <w:spacing w:val="-20"/>
                <w:sz w:val="28"/>
                <w:szCs w:val="28"/>
              </w:rPr>
            </w:pPr>
            <w:r>
              <w:rPr>
                <w:rFonts w:eastAsia="仿宋_GB2312"/>
                <w:color w:val="000000"/>
                <w:spacing w:val="-20"/>
                <w:sz w:val="28"/>
                <w:szCs w:val="28"/>
              </w:rPr>
              <w:t>2026年底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943" w:type="dxa"/>
            <w:tcBorders>
              <w:bottom w:val="single" w:color="auto" w:sz="4" w:space="0"/>
            </w:tcBorders>
            <w:vAlign w:val="center"/>
          </w:tcPr>
          <w:p>
            <w:pPr>
              <w:numPr>
                <w:ilvl w:val="0"/>
                <w:numId w:val="3"/>
              </w:numPr>
              <w:snapToGrid w:val="0"/>
              <w:spacing w:line="360" w:lineRule="exact"/>
              <w:jc w:val="center"/>
              <w:rPr>
                <w:rFonts w:eastAsia="仿宋_GB2312"/>
                <w:color w:val="000000"/>
                <w:sz w:val="28"/>
                <w:szCs w:val="28"/>
              </w:rPr>
            </w:pPr>
          </w:p>
        </w:tc>
        <w:tc>
          <w:tcPr>
            <w:tcW w:w="1676" w:type="dxa"/>
            <w:vMerge w:val="continue"/>
            <w:vAlign w:val="center"/>
          </w:tcPr>
          <w:p>
            <w:pPr>
              <w:snapToGrid w:val="0"/>
              <w:spacing w:line="360" w:lineRule="exact"/>
              <w:jc w:val="center"/>
              <w:rPr>
                <w:rFonts w:eastAsia="仿宋_GB2312"/>
                <w:color w:val="000000"/>
                <w:sz w:val="28"/>
                <w:szCs w:val="28"/>
              </w:rPr>
            </w:pPr>
          </w:p>
        </w:tc>
        <w:tc>
          <w:tcPr>
            <w:tcW w:w="1867" w:type="dxa"/>
            <w:tcBorders>
              <w:bottom w:val="single" w:color="auto" w:sz="4" w:space="0"/>
            </w:tcBorders>
            <w:vAlign w:val="center"/>
          </w:tcPr>
          <w:p>
            <w:pPr>
              <w:snapToGrid w:val="0"/>
              <w:spacing w:line="360" w:lineRule="exact"/>
              <w:jc w:val="left"/>
              <w:rPr>
                <w:rFonts w:eastAsia="仿宋_GB2312"/>
                <w:color w:val="000000"/>
                <w:sz w:val="28"/>
                <w:szCs w:val="28"/>
              </w:rPr>
            </w:pPr>
            <w:r>
              <w:rPr>
                <w:rFonts w:eastAsia="仿宋_GB2312"/>
                <w:color w:val="000000"/>
                <w:sz w:val="28"/>
                <w:szCs w:val="28"/>
              </w:rPr>
              <w:t>提升污染控制技术</w:t>
            </w:r>
          </w:p>
        </w:tc>
        <w:tc>
          <w:tcPr>
            <w:tcW w:w="7287" w:type="dxa"/>
            <w:tcBorders>
              <w:bottom w:val="single" w:color="auto" w:sz="4" w:space="0"/>
            </w:tcBorders>
            <w:vAlign w:val="center"/>
          </w:tcPr>
          <w:p>
            <w:pPr>
              <w:snapToGrid w:val="0"/>
              <w:spacing w:line="360" w:lineRule="exact"/>
              <w:rPr>
                <w:rFonts w:eastAsia="仿宋_GB2312"/>
                <w:color w:val="000000"/>
                <w:sz w:val="28"/>
                <w:szCs w:val="28"/>
              </w:rPr>
            </w:pPr>
            <w:r>
              <w:rPr>
                <w:rFonts w:eastAsia="仿宋_GB2312"/>
                <w:color w:val="000000"/>
                <w:sz w:val="28"/>
                <w:szCs w:val="28"/>
              </w:rPr>
              <w:t>开展焚烧项目垃圾焚烧协同有机固渣、盐泥和焚烧协同污泥技术研发，探索垃圾焚烧产业飞灰资源化利用技术可行性。</w:t>
            </w:r>
          </w:p>
        </w:tc>
        <w:tc>
          <w:tcPr>
            <w:tcW w:w="1027" w:type="dxa"/>
            <w:vMerge w:val="continue"/>
          </w:tcPr>
          <w:p>
            <w:pPr>
              <w:snapToGrid w:val="0"/>
              <w:spacing w:line="360" w:lineRule="exact"/>
              <w:rPr>
                <w:rFonts w:eastAsia="仿宋_GB2312"/>
                <w:color w:val="000000"/>
                <w:sz w:val="28"/>
                <w:szCs w:val="28"/>
              </w:rPr>
            </w:pPr>
          </w:p>
        </w:tc>
        <w:tc>
          <w:tcPr>
            <w:tcW w:w="1192" w:type="dxa"/>
            <w:tcBorders>
              <w:bottom w:val="single" w:color="auto" w:sz="4" w:space="0"/>
            </w:tcBorders>
            <w:vAlign w:val="center"/>
          </w:tcPr>
          <w:p>
            <w:pPr>
              <w:snapToGrid w:val="0"/>
              <w:spacing w:line="360" w:lineRule="exact"/>
              <w:jc w:val="center"/>
              <w:rPr>
                <w:rFonts w:eastAsia="仿宋_GB2312"/>
                <w:color w:val="000000"/>
                <w:spacing w:val="-20"/>
                <w:sz w:val="28"/>
                <w:szCs w:val="28"/>
              </w:rPr>
            </w:pPr>
            <w:r>
              <w:rPr>
                <w:rFonts w:eastAsia="仿宋_GB2312"/>
                <w:color w:val="000000"/>
                <w:spacing w:val="-20"/>
                <w:sz w:val="28"/>
                <w:szCs w:val="28"/>
              </w:rPr>
              <w:t>2026年底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943" w:type="dxa"/>
            <w:tcBorders>
              <w:bottom w:val="single" w:color="auto" w:sz="4" w:space="0"/>
            </w:tcBorders>
            <w:vAlign w:val="center"/>
          </w:tcPr>
          <w:p>
            <w:pPr>
              <w:numPr>
                <w:ilvl w:val="0"/>
                <w:numId w:val="3"/>
              </w:numPr>
              <w:snapToGrid w:val="0"/>
              <w:spacing w:line="360" w:lineRule="exact"/>
              <w:jc w:val="center"/>
              <w:rPr>
                <w:rFonts w:eastAsia="仿宋_GB2312"/>
                <w:color w:val="000000"/>
                <w:sz w:val="28"/>
                <w:szCs w:val="28"/>
              </w:rPr>
            </w:pPr>
          </w:p>
        </w:tc>
        <w:tc>
          <w:tcPr>
            <w:tcW w:w="1676" w:type="dxa"/>
            <w:vMerge w:val="continue"/>
            <w:vAlign w:val="center"/>
          </w:tcPr>
          <w:p>
            <w:pPr>
              <w:snapToGrid w:val="0"/>
              <w:spacing w:line="360" w:lineRule="exact"/>
              <w:jc w:val="center"/>
              <w:rPr>
                <w:rFonts w:eastAsia="仿宋_GB2312"/>
                <w:color w:val="000000"/>
                <w:sz w:val="28"/>
                <w:szCs w:val="28"/>
              </w:rPr>
            </w:pPr>
          </w:p>
        </w:tc>
        <w:tc>
          <w:tcPr>
            <w:tcW w:w="1867" w:type="dxa"/>
            <w:tcBorders>
              <w:bottom w:val="single" w:color="auto" w:sz="4" w:space="0"/>
            </w:tcBorders>
            <w:vAlign w:val="center"/>
          </w:tcPr>
          <w:p>
            <w:pPr>
              <w:snapToGrid w:val="0"/>
              <w:spacing w:line="360" w:lineRule="exact"/>
              <w:jc w:val="left"/>
              <w:rPr>
                <w:rFonts w:eastAsia="仿宋_GB2312"/>
                <w:color w:val="000000"/>
                <w:sz w:val="28"/>
                <w:szCs w:val="28"/>
              </w:rPr>
            </w:pPr>
            <w:r>
              <w:rPr>
                <w:rFonts w:eastAsia="仿宋_GB2312"/>
                <w:color w:val="000000"/>
                <w:sz w:val="28"/>
                <w:szCs w:val="28"/>
              </w:rPr>
              <w:t>融合数字化管理技术</w:t>
            </w:r>
          </w:p>
        </w:tc>
        <w:tc>
          <w:tcPr>
            <w:tcW w:w="7287" w:type="dxa"/>
            <w:tcBorders>
              <w:bottom w:val="single" w:color="auto" w:sz="4" w:space="0"/>
            </w:tcBorders>
            <w:vAlign w:val="center"/>
          </w:tcPr>
          <w:p>
            <w:pPr>
              <w:snapToGrid w:val="0"/>
              <w:spacing w:line="360" w:lineRule="exact"/>
              <w:rPr>
                <w:rFonts w:eastAsia="仿宋_GB2312"/>
                <w:color w:val="000000"/>
                <w:sz w:val="28"/>
                <w:szCs w:val="28"/>
              </w:rPr>
            </w:pPr>
            <w:r>
              <w:rPr>
                <w:rFonts w:eastAsia="仿宋_GB2312"/>
                <w:color w:val="000000"/>
                <w:sz w:val="28"/>
                <w:szCs w:val="28"/>
              </w:rPr>
              <w:t>开展烟气在线监测系统改造</w:t>
            </w:r>
            <w:r>
              <w:rPr>
                <w:rFonts w:hint="eastAsia" w:eastAsia="仿宋_GB2312"/>
                <w:color w:val="000000"/>
                <w:sz w:val="28"/>
                <w:szCs w:val="28"/>
              </w:rPr>
              <w:t>、</w:t>
            </w:r>
            <w:r>
              <w:rPr>
                <w:rFonts w:eastAsia="仿宋_GB2312"/>
                <w:color w:val="000000"/>
                <w:sz w:val="28"/>
                <w:szCs w:val="28"/>
              </w:rPr>
              <w:t>生活垃圾智能控制系统</w:t>
            </w:r>
            <w:r>
              <w:rPr>
                <w:rFonts w:hint="eastAsia" w:eastAsia="仿宋_GB2312"/>
                <w:color w:val="000000"/>
                <w:sz w:val="28"/>
                <w:szCs w:val="28"/>
              </w:rPr>
              <w:t>、</w:t>
            </w:r>
            <w:r>
              <w:rPr>
                <w:rFonts w:eastAsia="仿宋_GB2312"/>
                <w:color w:val="000000"/>
                <w:sz w:val="28"/>
                <w:szCs w:val="28"/>
              </w:rPr>
              <w:t>工艺段自动识别系统研究，实现园区数字化管理水平大幅提升。</w:t>
            </w:r>
          </w:p>
        </w:tc>
        <w:tc>
          <w:tcPr>
            <w:tcW w:w="1027" w:type="dxa"/>
            <w:vMerge w:val="continue"/>
          </w:tcPr>
          <w:p>
            <w:pPr>
              <w:snapToGrid w:val="0"/>
              <w:spacing w:line="360" w:lineRule="exact"/>
              <w:rPr>
                <w:rFonts w:eastAsia="仿宋_GB2312"/>
                <w:color w:val="000000"/>
                <w:sz w:val="28"/>
                <w:szCs w:val="28"/>
              </w:rPr>
            </w:pPr>
          </w:p>
        </w:tc>
        <w:tc>
          <w:tcPr>
            <w:tcW w:w="1192" w:type="dxa"/>
            <w:tcBorders>
              <w:bottom w:val="single" w:color="auto" w:sz="4" w:space="0"/>
            </w:tcBorders>
            <w:vAlign w:val="center"/>
          </w:tcPr>
          <w:p>
            <w:pPr>
              <w:snapToGrid w:val="0"/>
              <w:spacing w:line="360" w:lineRule="exact"/>
              <w:jc w:val="center"/>
              <w:rPr>
                <w:rFonts w:eastAsia="仿宋_GB2312"/>
                <w:color w:val="000000"/>
                <w:spacing w:val="-20"/>
                <w:sz w:val="28"/>
                <w:szCs w:val="28"/>
              </w:rPr>
            </w:pPr>
            <w:r>
              <w:rPr>
                <w:rFonts w:eastAsia="仿宋_GB2312"/>
                <w:color w:val="000000"/>
                <w:spacing w:val="-20"/>
                <w:sz w:val="28"/>
                <w:szCs w:val="28"/>
              </w:rPr>
              <w:t>2026年底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943" w:type="dxa"/>
            <w:tcBorders>
              <w:bottom w:val="single" w:color="auto" w:sz="4" w:space="0"/>
            </w:tcBorders>
            <w:vAlign w:val="center"/>
          </w:tcPr>
          <w:p>
            <w:pPr>
              <w:numPr>
                <w:ilvl w:val="0"/>
                <w:numId w:val="3"/>
              </w:numPr>
              <w:snapToGrid w:val="0"/>
              <w:spacing w:line="360" w:lineRule="exact"/>
              <w:jc w:val="center"/>
              <w:rPr>
                <w:rFonts w:eastAsia="仿宋_GB2312"/>
                <w:color w:val="000000"/>
                <w:sz w:val="28"/>
                <w:szCs w:val="28"/>
              </w:rPr>
            </w:pPr>
          </w:p>
        </w:tc>
        <w:tc>
          <w:tcPr>
            <w:tcW w:w="1676" w:type="dxa"/>
            <w:vMerge w:val="continue"/>
            <w:vAlign w:val="center"/>
          </w:tcPr>
          <w:p>
            <w:pPr>
              <w:snapToGrid w:val="0"/>
              <w:spacing w:line="360" w:lineRule="exact"/>
              <w:jc w:val="center"/>
              <w:rPr>
                <w:rFonts w:eastAsia="仿宋_GB2312"/>
                <w:color w:val="000000"/>
                <w:sz w:val="28"/>
                <w:szCs w:val="28"/>
              </w:rPr>
            </w:pPr>
          </w:p>
        </w:tc>
        <w:tc>
          <w:tcPr>
            <w:tcW w:w="1867" w:type="dxa"/>
            <w:tcBorders>
              <w:bottom w:val="single" w:color="auto" w:sz="4" w:space="0"/>
            </w:tcBorders>
            <w:vAlign w:val="center"/>
          </w:tcPr>
          <w:p>
            <w:pPr>
              <w:snapToGrid w:val="0"/>
              <w:spacing w:line="360" w:lineRule="exact"/>
              <w:jc w:val="left"/>
              <w:rPr>
                <w:rFonts w:eastAsia="仿宋_GB2312"/>
                <w:color w:val="000000"/>
                <w:sz w:val="28"/>
                <w:szCs w:val="28"/>
              </w:rPr>
            </w:pPr>
            <w:r>
              <w:rPr>
                <w:rFonts w:eastAsia="仿宋_GB2312"/>
                <w:color w:val="000000"/>
                <w:sz w:val="28"/>
                <w:szCs w:val="28"/>
              </w:rPr>
              <w:t>制定相关行业标准</w:t>
            </w:r>
          </w:p>
        </w:tc>
        <w:tc>
          <w:tcPr>
            <w:tcW w:w="7287" w:type="dxa"/>
            <w:tcBorders>
              <w:bottom w:val="single" w:color="auto" w:sz="4" w:space="0"/>
            </w:tcBorders>
            <w:vAlign w:val="center"/>
          </w:tcPr>
          <w:p>
            <w:pPr>
              <w:snapToGrid w:val="0"/>
              <w:spacing w:line="360" w:lineRule="exact"/>
              <w:rPr>
                <w:rFonts w:eastAsia="仿宋_GB2312"/>
                <w:color w:val="000000"/>
                <w:sz w:val="28"/>
                <w:szCs w:val="28"/>
              </w:rPr>
            </w:pPr>
            <w:r>
              <w:rPr>
                <w:rFonts w:eastAsia="仿宋_GB2312"/>
                <w:color w:val="000000"/>
                <w:sz w:val="28"/>
                <w:szCs w:val="28"/>
              </w:rPr>
              <w:t>开展和参与减污降碳协同创新技术类标准体系建设。</w:t>
            </w:r>
          </w:p>
        </w:tc>
        <w:tc>
          <w:tcPr>
            <w:tcW w:w="1027" w:type="dxa"/>
            <w:vMerge w:val="restart"/>
            <w:vAlign w:val="center"/>
          </w:tcPr>
          <w:p>
            <w:pPr>
              <w:snapToGrid w:val="0"/>
              <w:spacing w:line="360" w:lineRule="exact"/>
              <w:jc w:val="center"/>
              <w:rPr>
                <w:rFonts w:eastAsia="仿宋_GB2312"/>
                <w:color w:val="000000"/>
                <w:sz w:val="28"/>
                <w:szCs w:val="28"/>
              </w:rPr>
            </w:pPr>
            <w:r>
              <w:rPr>
                <w:rFonts w:eastAsia="仿宋_GB2312"/>
                <w:color w:val="000000"/>
                <w:sz w:val="28"/>
                <w:szCs w:val="28"/>
              </w:rPr>
              <w:t>园区内各企业</w:t>
            </w:r>
          </w:p>
        </w:tc>
        <w:tc>
          <w:tcPr>
            <w:tcW w:w="1192" w:type="dxa"/>
            <w:tcBorders>
              <w:bottom w:val="single" w:color="auto" w:sz="4" w:space="0"/>
            </w:tcBorders>
            <w:vAlign w:val="center"/>
          </w:tcPr>
          <w:p>
            <w:pPr>
              <w:snapToGrid w:val="0"/>
              <w:spacing w:line="360" w:lineRule="exact"/>
              <w:jc w:val="center"/>
              <w:rPr>
                <w:rFonts w:eastAsia="仿宋_GB2312"/>
                <w:color w:val="000000"/>
                <w:spacing w:val="-20"/>
                <w:sz w:val="28"/>
                <w:szCs w:val="28"/>
              </w:rPr>
            </w:pPr>
            <w:r>
              <w:rPr>
                <w:rFonts w:eastAsia="仿宋_GB2312"/>
                <w:color w:val="000000"/>
                <w:spacing w:val="-20"/>
                <w:sz w:val="28"/>
                <w:szCs w:val="28"/>
              </w:rPr>
              <w:t>2026年底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943" w:type="dxa"/>
            <w:tcBorders>
              <w:bottom w:val="single" w:color="auto" w:sz="4" w:space="0"/>
            </w:tcBorders>
            <w:vAlign w:val="center"/>
          </w:tcPr>
          <w:p>
            <w:pPr>
              <w:numPr>
                <w:ilvl w:val="0"/>
                <w:numId w:val="3"/>
              </w:numPr>
              <w:snapToGrid w:val="0"/>
              <w:spacing w:line="360" w:lineRule="exact"/>
              <w:jc w:val="center"/>
              <w:rPr>
                <w:rFonts w:eastAsia="仿宋_GB2312"/>
                <w:color w:val="000000"/>
                <w:sz w:val="28"/>
                <w:szCs w:val="28"/>
              </w:rPr>
            </w:pPr>
          </w:p>
        </w:tc>
        <w:tc>
          <w:tcPr>
            <w:tcW w:w="1676" w:type="dxa"/>
            <w:vMerge w:val="restart"/>
            <w:vAlign w:val="center"/>
          </w:tcPr>
          <w:p>
            <w:pPr>
              <w:snapToGrid w:val="0"/>
              <w:spacing w:line="360" w:lineRule="exact"/>
              <w:jc w:val="center"/>
              <w:rPr>
                <w:rFonts w:eastAsia="仿宋_GB2312"/>
                <w:color w:val="000000"/>
                <w:sz w:val="28"/>
                <w:szCs w:val="28"/>
              </w:rPr>
            </w:pPr>
            <w:r>
              <w:rPr>
                <w:rFonts w:eastAsia="仿宋_GB2312"/>
                <w:bCs/>
                <w:color w:val="000000"/>
                <w:sz w:val="28"/>
                <w:szCs w:val="28"/>
              </w:rPr>
              <w:t>碳控优链—调能构、增效益，形成多元低碳能源供应体系</w:t>
            </w:r>
          </w:p>
        </w:tc>
        <w:tc>
          <w:tcPr>
            <w:tcW w:w="1867" w:type="dxa"/>
            <w:tcBorders>
              <w:bottom w:val="single" w:color="auto" w:sz="4" w:space="0"/>
            </w:tcBorders>
            <w:vAlign w:val="center"/>
          </w:tcPr>
          <w:p>
            <w:pPr>
              <w:snapToGrid w:val="0"/>
              <w:spacing w:line="360" w:lineRule="exact"/>
              <w:jc w:val="left"/>
              <w:rPr>
                <w:rFonts w:eastAsia="仿宋_GB2312"/>
                <w:color w:val="000000"/>
                <w:sz w:val="28"/>
                <w:szCs w:val="28"/>
              </w:rPr>
            </w:pPr>
            <w:r>
              <w:rPr>
                <w:rFonts w:eastAsia="仿宋_GB2312"/>
                <w:color w:val="000000"/>
                <w:sz w:val="28"/>
                <w:szCs w:val="28"/>
              </w:rPr>
              <w:t>挖掘新能源供给潜力</w:t>
            </w:r>
          </w:p>
        </w:tc>
        <w:tc>
          <w:tcPr>
            <w:tcW w:w="7287" w:type="dxa"/>
            <w:tcBorders>
              <w:bottom w:val="single" w:color="auto" w:sz="4" w:space="0"/>
            </w:tcBorders>
            <w:vAlign w:val="center"/>
          </w:tcPr>
          <w:p>
            <w:pPr>
              <w:snapToGrid w:val="0"/>
              <w:spacing w:line="360" w:lineRule="exact"/>
              <w:rPr>
                <w:rFonts w:eastAsia="仿宋_GB2312"/>
                <w:color w:val="000000"/>
                <w:sz w:val="28"/>
                <w:szCs w:val="28"/>
              </w:rPr>
            </w:pPr>
            <w:r>
              <w:rPr>
                <w:rFonts w:eastAsia="仿宋_GB2312"/>
                <w:color w:val="000000"/>
                <w:sz w:val="28"/>
                <w:szCs w:val="28"/>
              </w:rPr>
              <w:t>开发光伏、沼气等新能源、生物质能潜力，提高新能源供给能力。</w:t>
            </w:r>
          </w:p>
        </w:tc>
        <w:tc>
          <w:tcPr>
            <w:tcW w:w="1027" w:type="dxa"/>
            <w:vMerge w:val="continue"/>
          </w:tcPr>
          <w:p>
            <w:pPr>
              <w:snapToGrid w:val="0"/>
              <w:spacing w:line="360" w:lineRule="exact"/>
              <w:rPr>
                <w:rFonts w:eastAsia="仿宋_GB2312"/>
                <w:color w:val="000000"/>
                <w:sz w:val="28"/>
                <w:szCs w:val="28"/>
              </w:rPr>
            </w:pPr>
          </w:p>
        </w:tc>
        <w:tc>
          <w:tcPr>
            <w:tcW w:w="1192" w:type="dxa"/>
            <w:tcBorders>
              <w:bottom w:val="single" w:color="auto" w:sz="4" w:space="0"/>
            </w:tcBorders>
            <w:vAlign w:val="center"/>
          </w:tcPr>
          <w:p>
            <w:pPr>
              <w:snapToGrid w:val="0"/>
              <w:spacing w:line="360" w:lineRule="exact"/>
              <w:jc w:val="center"/>
              <w:rPr>
                <w:rFonts w:eastAsia="仿宋_GB2312"/>
                <w:color w:val="000000"/>
                <w:spacing w:val="-20"/>
                <w:sz w:val="28"/>
                <w:szCs w:val="28"/>
              </w:rPr>
            </w:pPr>
            <w:r>
              <w:rPr>
                <w:rFonts w:eastAsia="仿宋_GB2312"/>
                <w:color w:val="000000"/>
                <w:spacing w:val="-20"/>
                <w:sz w:val="28"/>
                <w:szCs w:val="28"/>
              </w:rPr>
              <w:t>2026年底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943" w:type="dxa"/>
            <w:tcBorders>
              <w:bottom w:val="single" w:color="auto" w:sz="4" w:space="0"/>
            </w:tcBorders>
            <w:vAlign w:val="center"/>
          </w:tcPr>
          <w:p>
            <w:pPr>
              <w:numPr>
                <w:ilvl w:val="0"/>
                <w:numId w:val="3"/>
              </w:numPr>
              <w:snapToGrid w:val="0"/>
              <w:spacing w:line="360" w:lineRule="exact"/>
              <w:jc w:val="center"/>
              <w:rPr>
                <w:rFonts w:eastAsia="仿宋_GB2312"/>
                <w:color w:val="000000"/>
                <w:sz w:val="28"/>
                <w:szCs w:val="28"/>
              </w:rPr>
            </w:pPr>
          </w:p>
        </w:tc>
        <w:tc>
          <w:tcPr>
            <w:tcW w:w="1676" w:type="dxa"/>
            <w:vMerge w:val="continue"/>
            <w:vAlign w:val="center"/>
          </w:tcPr>
          <w:p>
            <w:pPr>
              <w:snapToGrid w:val="0"/>
              <w:spacing w:line="360" w:lineRule="exact"/>
              <w:jc w:val="center"/>
              <w:rPr>
                <w:rFonts w:eastAsia="仿宋_GB2312"/>
                <w:color w:val="000000"/>
                <w:sz w:val="28"/>
                <w:szCs w:val="28"/>
              </w:rPr>
            </w:pPr>
          </w:p>
        </w:tc>
        <w:tc>
          <w:tcPr>
            <w:tcW w:w="1867" w:type="dxa"/>
            <w:tcBorders>
              <w:bottom w:val="single" w:color="auto" w:sz="4" w:space="0"/>
            </w:tcBorders>
            <w:vAlign w:val="center"/>
          </w:tcPr>
          <w:p>
            <w:pPr>
              <w:keepNext/>
              <w:keepLines/>
              <w:numPr>
                <w:ilvl w:val="2"/>
                <w:numId w:val="0"/>
              </w:numPr>
              <w:spacing w:line="360" w:lineRule="exact"/>
              <w:jc w:val="left"/>
              <w:outlineLvl w:val="2"/>
              <w:rPr>
                <w:rFonts w:eastAsia="仿宋_GB2312"/>
                <w:b/>
                <w:bCs/>
                <w:color w:val="000000"/>
                <w:sz w:val="28"/>
                <w:szCs w:val="28"/>
              </w:rPr>
            </w:pPr>
            <w:r>
              <w:rPr>
                <w:rFonts w:eastAsia="仿宋_GB2312"/>
                <w:color w:val="000000"/>
                <w:sz w:val="28"/>
                <w:szCs w:val="28"/>
              </w:rPr>
              <w:t>优化能源供给结构</w:t>
            </w:r>
          </w:p>
        </w:tc>
        <w:tc>
          <w:tcPr>
            <w:tcW w:w="7287" w:type="dxa"/>
            <w:tcBorders>
              <w:bottom w:val="single" w:color="auto" w:sz="4" w:space="0"/>
            </w:tcBorders>
            <w:vAlign w:val="center"/>
          </w:tcPr>
          <w:p>
            <w:pPr>
              <w:snapToGrid w:val="0"/>
              <w:spacing w:line="360" w:lineRule="exact"/>
              <w:rPr>
                <w:rFonts w:eastAsia="仿宋_GB2312"/>
                <w:color w:val="000000"/>
                <w:sz w:val="28"/>
                <w:szCs w:val="28"/>
              </w:rPr>
            </w:pPr>
            <w:r>
              <w:rPr>
                <w:rFonts w:eastAsia="仿宋_GB2312"/>
                <w:color w:val="000000"/>
                <w:sz w:val="28"/>
                <w:szCs w:val="28"/>
              </w:rPr>
              <w:t>构建由焚烧发电、光伏发电、沼气发电组成的可再生能源、新能源多元化能源体系，提高内外供给的容量、数量和质量，形成</w:t>
            </w:r>
            <w:r>
              <w:rPr>
                <w:rFonts w:hint="eastAsia" w:eastAsia="仿宋_GB2312"/>
                <w:color w:val="000000"/>
                <w:sz w:val="28"/>
                <w:szCs w:val="28"/>
              </w:rPr>
              <w:t>“</w:t>
            </w:r>
            <w:r>
              <w:rPr>
                <w:rFonts w:eastAsia="仿宋_GB2312"/>
                <w:color w:val="000000"/>
                <w:sz w:val="28"/>
                <w:szCs w:val="28"/>
              </w:rPr>
              <w:t>三能二源三量</w:t>
            </w:r>
            <w:r>
              <w:rPr>
                <w:rFonts w:hint="eastAsia" w:eastAsia="仿宋_GB2312"/>
                <w:color w:val="000000"/>
                <w:sz w:val="28"/>
                <w:szCs w:val="28"/>
              </w:rPr>
              <w:t>”</w:t>
            </w:r>
            <w:r>
              <w:rPr>
                <w:rFonts w:eastAsia="仿宋_GB2312"/>
                <w:color w:val="000000"/>
                <w:sz w:val="28"/>
                <w:szCs w:val="28"/>
              </w:rPr>
              <w:t>能源多能互补模式能源结构。</w:t>
            </w:r>
          </w:p>
        </w:tc>
        <w:tc>
          <w:tcPr>
            <w:tcW w:w="1027" w:type="dxa"/>
            <w:vMerge w:val="continue"/>
          </w:tcPr>
          <w:p>
            <w:pPr>
              <w:snapToGrid w:val="0"/>
              <w:spacing w:line="360" w:lineRule="exact"/>
              <w:rPr>
                <w:rFonts w:eastAsia="仿宋_GB2312"/>
                <w:color w:val="000000"/>
                <w:sz w:val="28"/>
                <w:szCs w:val="28"/>
              </w:rPr>
            </w:pPr>
          </w:p>
        </w:tc>
        <w:tc>
          <w:tcPr>
            <w:tcW w:w="1192" w:type="dxa"/>
            <w:tcBorders>
              <w:bottom w:val="single" w:color="auto" w:sz="4" w:space="0"/>
            </w:tcBorders>
            <w:vAlign w:val="center"/>
          </w:tcPr>
          <w:p>
            <w:pPr>
              <w:snapToGrid w:val="0"/>
              <w:spacing w:line="360" w:lineRule="exact"/>
              <w:jc w:val="center"/>
              <w:rPr>
                <w:rFonts w:eastAsia="仿宋_GB2312"/>
                <w:color w:val="000000"/>
                <w:spacing w:val="-20"/>
                <w:sz w:val="28"/>
                <w:szCs w:val="28"/>
              </w:rPr>
            </w:pPr>
            <w:r>
              <w:rPr>
                <w:rFonts w:eastAsia="仿宋_GB2312"/>
                <w:color w:val="000000"/>
                <w:spacing w:val="-20"/>
                <w:sz w:val="28"/>
                <w:szCs w:val="28"/>
              </w:rPr>
              <w:t>2026年底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943" w:type="dxa"/>
            <w:tcBorders>
              <w:bottom w:val="single" w:color="auto" w:sz="4" w:space="0"/>
            </w:tcBorders>
            <w:vAlign w:val="center"/>
          </w:tcPr>
          <w:p>
            <w:pPr>
              <w:numPr>
                <w:ilvl w:val="0"/>
                <w:numId w:val="3"/>
              </w:numPr>
              <w:snapToGrid w:val="0"/>
              <w:spacing w:line="360" w:lineRule="exact"/>
              <w:jc w:val="center"/>
              <w:rPr>
                <w:rFonts w:eastAsia="仿宋_GB2312"/>
                <w:color w:val="000000"/>
                <w:sz w:val="28"/>
                <w:szCs w:val="28"/>
              </w:rPr>
            </w:pPr>
          </w:p>
        </w:tc>
        <w:tc>
          <w:tcPr>
            <w:tcW w:w="1676" w:type="dxa"/>
            <w:vMerge w:val="continue"/>
            <w:vAlign w:val="center"/>
          </w:tcPr>
          <w:p>
            <w:pPr>
              <w:snapToGrid w:val="0"/>
              <w:spacing w:line="360" w:lineRule="exact"/>
              <w:jc w:val="center"/>
              <w:rPr>
                <w:rFonts w:eastAsia="仿宋_GB2312"/>
                <w:color w:val="000000"/>
                <w:sz w:val="28"/>
                <w:szCs w:val="28"/>
              </w:rPr>
            </w:pPr>
          </w:p>
        </w:tc>
        <w:tc>
          <w:tcPr>
            <w:tcW w:w="1867" w:type="dxa"/>
            <w:tcBorders>
              <w:bottom w:val="single" w:color="auto" w:sz="4" w:space="0"/>
            </w:tcBorders>
            <w:vAlign w:val="center"/>
          </w:tcPr>
          <w:p>
            <w:pPr>
              <w:snapToGrid w:val="0"/>
              <w:spacing w:line="360" w:lineRule="exact"/>
              <w:jc w:val="left"/>
              <w:rPr>
                <w:rFonts w:eastAsia="仿宋_GB2312"/>
                <w:color w:val="000000"/>
                <w:sz w:val="28"/>
                <w:szCs w:val="28"/>
              </w:rPr>
            </w:pPr>
            <w:r>
              <w:rPr>
                <w:rFonts w:eastAsia="仿宋_GB2312"/>
                <w:color w:val="000000"/>
                <w:sz w:val="28"/>
                <w:szCs w:val="28"/>
              </w:rPr>
              <w:t>提升余热利用效率</w:t>
            </w:r>
          </w:p>
        </w:tc>
        <w:tc>
          <w:tcPr>
            <w:tcW w:w="7287" w:type="dxa"/>
            <w:tcBorders>
              <w:bottom w:val="single" w:color="auto" w:sz="4" w:space="0"/>
            </w:tcBorders>
            <w:vAlign w:val="center"/>
          </w:tcPr>
          <w:p>
            <w:pPr>
              <w:snapToGrid w:val="0"/>
              <w:spacing w:line="360" w:lineRule="exact"/>
              <w:rPr>
                <w:rFonts w:eastAsia="仿宋_GB2312"/>
                <w:color w:val="000000"/>
                <w:sz w:val="28"/>
                <w:szCs w:val="28"/>
              </w:rPr>
            </w:pPr>
            <w:r>
              <w:rPr>
                <w:rFonts w:eastAsia="仿宋_GB2312"/>
                <w:color w:val="000000"/>
                <w:sz w:val="28"/>
                <w:szCs w:val="28"/>
              </w:rPr>
              <w:t>挖掘垃圾焚烧余热回收利用潜力，提高能源代谢效率。</w:t>
            </w:r>
          </w:p>
        </w:tc>
        <w:tc>
          <w:tcPr>
            <w:tcW w:w="1027" w:type="dxa"/>
            <w:vMerge w:val="continue"/>
          </w:tcPr>
          <w:p>
            <w:pPr>
              <w:snapToGrid w:val="0"/>
              <w:spacing w:line="360" w:lineRule="exact"/>
              <w:rPr>
                <w:rFonts w:eastAsia="仿宋_GB2312"/>
                <w:color w:val="000000"/>
                <w:sz w:val="28"/>
                <w:szCs w:val="28"/>
              </w:rPr>
            </w:pPr>
          </w:p>
        </w:tc>
        <w:tc>
          <w:tcPr>
            <w:tcW w:w="1192" w:type="dxa"/>
            <w:tcBorders>
              <w:bottom w:val="single" w:color="auto" w:sz="4" w:space="0"/>
            </w:tcBorders>
            <w:vAlign w:val="center"/>
          </w:tcPr>
          <w:p>
            <w:pPr>
              <w:snapToGrid w:val="0"/>
              <w:spacing w:line="360" w:lineRule="exact"/>
              <w:jc w:val="center"/>
              <w:rPr>
                <w:rFonts w:eastAsia="仿宋_GB2312"/>
                <w:color w:val="000000"/>
                <w:spacing w:val="-20"/>
                <w:sz w:val="28"/>
                <w:szCs w:val="28"/>
              </w:rPr>
            </w:pPr>
            <w:r>
              <w:rPr>
                <w:rFonts w:eastAsia="仿宋_GB2312"/>
                <w:color w:val="000000"/>
                <w:spacing w:val="-20"/>
                <w:sz w:val="28"/>
                <w:szCs w:val="28"/>
              </w:rPr>
              <w:t>2026年底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943" w:type="dxa"/>
            <w:tcBorders>
              <w:top w:val="single" w:color="auto" w:sz="4" w:space="0"/>
              <w:left w:val="single" w:color="auto" w:sz="4" w:space="0"/>
              <w:bottom w:val="single" w:color="auto" w:sz="4" w:space="0"/>
              <w:right w:val="single" w:color="auto" w:sz="4" w:space="0"/>
            </w:tcBorders>
            <w:vAlign w:val="center"/>
          </w:tcPr>
          <w:p>
            <w:pPr>
              <w:numPr>
                <w:ilvl w:val="0"/>
                <w:numId w:val="3"/>
              </w:numPr>
              <w:snapToGrid w:val="0"/>
              <w:spacing w:line="360" w:lineRule="exact"/>
              <w:jc w:val="center"/>
              <w:rPr>
                <w:rFonts w:eastAsia="仿宋_GB2312"/>
                <w:color w:val="000000"/>
                <w:sz w:val="28"/>
                <w:szCs w:val="28"/>
              </w:rPr>
            </w:pPr>
          </w:p>
        </w:tc>
        <w:tc>
          <w:tcPr>
            <w:tcW w:w="1676"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eastAsia="仿宋_GB2312"/>
                <w:color w:val="000000"/>
                <w:sz w:val="28"/>
                <w:szCs w:val="28"/>
              </w:rPr>
            </w:pPr>
            <w:r>
              <w:rPr>
                <w:rFonts w:eastAsia="仿宋_GB2312"/>
                <w:bCs/>
                <w:color w:val="000000"/>
                <w:sz w:val="28"/>
                <w:szCs w:val="28"/>
              </w:rPr>
              <w:t>管理统链—强手段、载科技，完善园区污碳协同智控能力</w:t>
            </w:r>
          </w:p>
        </w:tc>
        <w:tc>
          <w:tcPr>
            <w:tcW w:w="186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left"/>
              <w:rPr>
                <w:rFonts w:eastAsia="仿宋_GB2312"/>
                <w:color w:val="000000"/>
                <w:sz w:val="28"/>
                <w:szCs w:val="28"/>
              </w:rPr>
            </w:pPr>
            <w:r>
              <w:rPr>
                <w:rFonts w:eastAsia="仿宋_GB2312"/>
                <w:color w:val="000000"/>
                <w:sz w:val="28"/>
                <w:szCs w:val="28"/>
              </w:rPr>
              <w:t>提升能源管理能力</w:t>
            </w:r>
          </w:p>
        </w:tc>
        <w:tc>
          <w:tcPr>
            <w:tcW w:w="728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eastAsia="仿宋_GB2312"/>
                <w:color w:val="000000"/>
                <w:sz w:val="28"/>
                <w:szCs w:val="28"/>
              </w:rPr>
            </w:pPr>
            <w:r>
              <w:rPr>
                <w:rFonts w:eastAsia="仿宋_GB2312"/>
                <w:color w:val="000000"/>
                <w:sz w:val="28"/>
                <w:szCs w:val="28"/>
              </w:rPr>
              <w:t>落实双控目标，建立优化评价考核制度。</w:t>
            </w:r>
          </w:p>
        </w:tc>
        <w:tc>
          <w:tcPr>
            <w:tcW w:w="1027" w:type="dxa"/>
            <w:vMerge w:val="continue"/>
          </w:tcPr>
          <w:p>
            <w:pPr>
              <w:snapToGrid w:val="0"/>
              <w:spacing w:line="360" w:lineRule="exact"/>
              <w:rPr>
                <w:rFonts w:eastAsia="仿宋_GB2312"/>
                <w:color w:val="000000"/>
                <w:sz w:val="28"/>
                <w:szCs w:val="28"/>
              </w:rPr>
            </w:pPr>
          </w:p>
        </w:tc>
        <w:tc>
          <w:tcPr>
            <w:tcW w:w="119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eastAsia="仿宋_GB2312"/>
                <w:color w:val="000000"/>
                <w:spacing w:val="-20"/>
                <w:sz w:val="28"/>
                <w:szCs w:val="28"/>
              </w:rPr>
            </w:pPr>
            <w:r>
              <w:rPr>
                <w:rFonts w:eastAsia="仿宋_GB2312"/>
                <w:color w:val="000000"/>
                <w:spacing w:val="-20"/>
                <w:sz w:val="28"/>
                <w:szCs w:val="28"/>
              </w:rPr>
              <w:t>2026年底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trPr>
        <w:tc>
          <w:tcPr>
            <w:tcW w:w="943" w:type="dxa"/>
            <w:tcBorders>
              <w:top w:val="single" w:color="auto" w:sz="4" w:space="0"/>
              <w:left w:val="single" w:color="auto" w:sz="4" w:space="0"/>
              <w:bottom w:val="single" w:color="auto" w:sz="4" w:space="0"/>
              <w:right w:val="single" w:color="auto" w:sz="4" w:space="0"/>
            </w:tcBorders>
            <w:vAlign w:val="center"/>
          </w:tcPr>
          <w:p>
            <w:pPr>
              <w:numPr>
                <w:ilvl w:val="0"/>
                <w:numId w:val="3"/>
              </w:numPr>
              <w:snapToGrid w:val="0"/>
              <w:spacing w:line="360" w:lineRule="exact"/>
              <w:jc w:val="center"/>
              <w:rPr>
                <w:rFonts w:eastAsia="仿宋_GB2312"/>
                <w:color w:val="000000"/>
                <w:sz w:val="28"/>
                <w:szCs w:val="28"/>
              </w:rPr>
            </w:pPr>
          </w:p>
        </w:tc>
        <w:tc>
          <w:tcPr>
            <w:tcW w:w="1676" w:type="dxa"/>
            <w:vMerge w:val="continue"/>
            <w:tcBorders>
              <w:left w:val="single" w:color="auto" w:sz="4" w:space="0"/>
              <w:right w:val="single" w:color="auto" w:sz="4" w:space="0"/>
            </w:tcBorders>
            <w:vAlign w:val="center"/>
          </w:tcPr>
          <w:p>
            <w:pPr>
              <w:snapToGrid w:val="0"/>
              <w:spacing w:line="360" w:lineRule="exact"/>
              <w:jc w:val="center"/>
              <w:rPr>
                <w:rFonts w:eastAsia="仿宋_GB2312"/>
                <w:color w:val="000000"/>
                <w:sz w:val="28"/>
                <w:szCs w:val="28"/>
              </w:rPr>
            </w:pPr>
          </w:p>
        </w:tc>
        <w:tc>
          <w:tcPr>
            <w:tcW w:w="186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left"/>
              <w:rPr>
                <w:rFonts w:eastAsia="仿宋_GB2312"/>
                <w:color w:val="000000"/>
                <w:sz w:val="28"/>
                <w:szCs w:val="28"/>
              </w:rPr>
            </w:pPr>
            <w:r>
              <w:rPr>
                <w:rFonts w:eastAsia="仿宋_GB2312"/>
                <w:color w:val="000000"/>
                <w:sz w:val="28"/>
                <w:szCs w:val="28"/>
              </w:rPr>
              <w:t>建设减污降碳协同智慧平台</w:t>
            </w:r>
          </w:p>
        </w:tc>
        <w:tc>
          <w:tcPr>
            <w:tcW w:w="728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eastAsia="仿宋_GB2312"/>
                <w:color w:val="000000"/>
                <w:sz w:val="28"/>
                <w:szCs w:val="28"/>
              </w:rPr>
            </w:pPr>
            <w:r>
              <w:rPr>
                <w:rFonts w:eastAsia="仿宋_GB2312"/>
                <w:color w:val="000000"/>
                <w:sz w:val="28"/>
                <w:szCs w:val="28"/>
              </w:rPr>
              <w:t>建设综合能源管理、生产管理、减排管理、经营管理四大业务领域智慧管理平台。</w:t>
            </w:r>
          </w:p>
        </w:tc>
        <w:tc>
          <w:tcPr>
            <w:tcW w:w="1027" w:type="dxa"/>
            <w:vMerge w:val="continue"/>
          </w:tcPr>
          <w:p>
            <w:pPr>
              <w:snapToGrid w:val="0"/>
              <w:spacing w:line="360" w:lineRule="exact"/>
              <w:rPr>
                <w:rFonts w:eastAsia="仿宋_GB2312"/>
                <w:color w:val="000000"/>
                <w:sz w:val="28"/>
                <w:szCs w:val="28"/>
              </w:rPr>
            </w:pPr>
          </w:p>
        </w:tc>
        <w:tc>
          <w:tcPr>
            <w:tcW w:w="119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eastAsia="仿宋_GB2312"/>
                <w:color w:val="000000"/>
                <w:spacing w:val="-20"/>
                <w:sz w:val="28"/>
                <w:szCs w:val="28"/>
              </w:rPr>
            </w:pPr>
            <w:r>
              <w:rPr>
                <w:rFonts w:eastAsia="仿宋_GB2312"/>
                <w:color w:val="000000"/>
                <w:spacing w:val="-20"/>
                <w:sz w:val="28"/>
                <w:szCs w:val="28"/>
              </w:rPr>
              <w:t>2026年底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3" w:type="dxa"/>
            <w:tcBorders>
              <w:top w:val="single" w:color="auto" w:sz="4" w:space="0"/>
              <w:left w:val="single" w:color="auto" w:sz="4" w:space="0"/>
              <w:bottom w:val="single" w:color="auto" w:sz="4" w:space="0"/>
              <w:right w:val="single" w:color="auto" w:sz="4" w:space="0"/>
            </w:tcBorders>
            <w:vAlign w:val="center"/>
          </w:tcPr>
          <w:p>
            <w:pPr>
              <w:numPr>
                <w:ilvl w:val="0"/>
                <w:numId w:val="3"/>
              </w:numPr>
              <w:snapToGrid w:val="0"/>
              <w:spacing w:line="360" w:lineRule="exact"/>
              <w:jc w:val="center"/>
              <w:rPr>
                <w:rFonts w:eastAsia="仿宋_GB2312"/>
                <w:color w:val="000000"/>
                <w:sz w:val="28"/>
                <w:szCs w:val="28"/>
              </w:rPr>
            </w:pPr>
          </w:p>
        </w:tc>
        <w:tc>
          <w:tcPr>
            <w:tcW w:w="1676" w:type="dxa"/>
            <w:vMerge w:val="continue"/>
            <w:tcBorders>
              <w:left w:val="single" w:color="auto" w:sz="4" w:space="0"/>
              <w:right w:val="single" w:color="auto" w:sz="4" w:space="0"/>
            </w:tcBorders>
            <w:vAlign w:val="center"/>
          </w:tcPr>
          <w:p>
            <w:pPr>
              <w:snapToGrid w:val="0"/>
              <w:spacing w:line="360" w:lineRule="exact"/>
              <w:jc w:val="center"/>
              <w:rPr>
                <w:rFonts w:eastAsia="仿宋_GB2312"/>
                <w:color w:val="000000"/>
                <w:sz w:val="28"/>
                <w:szCs w:val="28"/>
              </w:rPr>
            </w:pPr>
          </w:p>
        </w:tc>
        <w:tc>
          <w:tcPr>
            <w:tcW w:w="186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left"/>
              <w:rPr>
                <w:rFonts w:eastAsia="仿宋_GB2312"/>
                <w:color w:val="000000"/>
                <w:sz w:val="28"/>
                <w:szCs w:val="28"/>
              </w:rPr>
            </w:pPr>
            <w:r>
              <w:rPr>
                <w:rFonts w:eastAsia="仿宋_GB2312"/>
                <w:color w:val="000000"/>
                <w:sz w:val="28"/>
                <w:szCs w:val="28"/>
              </w:rPr>
              <w:t>建立</w:t>
            </w:r>
            <w:r>
              <w:rPr>
                <w:rFonts w:hint="eastAsia" w:eastAsia="仿宋_GB2312"/>
                <w:color w:val="000000"/>
                <w:sz w:val="28"/>
                <w:szCs w:val="28"/>
              </w:rPr>
              <w:t>“</w:t>
            </w:r>
            <w:r>
              <w:rPr>
                <w:rFonts w:eastAsia="仿宋_GB2312"/>
                <w:color w:val="000000"/>
                <w:sz w:val="28"/>
                <w:szCs w:val="28"/>
              </w:rPr>
              <w:t>多流合一</w:t>
            </w:r>
            <w:r>
              <w:rPr>
                <w:rFonts w:hint="eastAsia" w:eastAsia="仿宋_GB2312"/>
                <w:color w:val="000000"/>
                <w:sz w:val="28"/>
                <w:szCs w:val="28"/>
              </w:rPr>
              <w:t>”</w:t>
            </w:r>
            <w:r>
              <w:rPr>
                <w:rFonts w:eastAsia="仿宋_GB2312"/>
                <w:color w:val="000000"/>
                <w:sz w:val="28"/>
                <w:szCs w:val="28"/>
              </w:rPr>
              <w:t>智慧</w:t>
            </w:r>
            <w:r>
              <w:rPr>
                <w:rFonts w:hint="eastAsia" w:eastAsia="仿宋_GB2312"/>
                <w:color w:val="000000"/>
                <w:sz w:val="28"/>
                <w:szCs w:val="28"/>
              </w:rPr>
              <w:t>体系</w:t>
            </w:r>
          </w:p>
        </w:tc>
        <w:tc>
          <w:tcPr>
            <w:tcW w:w="728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eastAsia="仿宋_GB2312"/>
                <w:strike/>
                <w:color w:val="000000"/>
                <w:sz w:val="28"/>
                <w:szCs w:val="28"/>
              </w:rPr>
            </w:pPr>
            <w:r>
              <w:rPr>
                <w:rFonts w:eastAsia="仿宋_GB2312"/>
                <w:color w:val="000000"/>
                <w:sz w:val="28"/>
                <w:szCs w:val="28"/>
              </w:rPr>
              <w:t>建立园区物质流、能量流、信息流、碳流、资金流</w:t>
            </w:r>
            <w:r>
              <w:rPr>
                <w:rFonts w:hint="eastAsia" w:eastAsia="仿宋_GB2312"/>
                <w:color w:val="000000"/>
                <w:sz w:val="28"/>
                <w:szCs w:val="28"/>
              </w:rPr>
              <w:t>“</w:t>
            </w:r>
            <w:r>
              <w:rPr>
                <w:rFonts w:eastAsia="仿宋_GB2312"/>
                <w:color w:val="000000"/>
                <w:sz w:val="28"/>
                <w:szCs w:val="28"/>
              </w:rPr>
              <w:t>多流合一</w:t>
            </w:r>
            <w:r>
              <w:rPr>
                <w:rFonts w:hint="eastAsia" w:eastAsia="仿宋_GB2312"/>
                <w:color w:val="000000"/>
                <w:sz w:val="28"/>
                <w:szCs w:val="28"/>
              </w:rPr>
              <w:t>”</w:t>
            </w:r>
            <w:r>
              <w:rPr>
                <w:rFonts w:eastAsia="仿宋_GB2312"/>
                <w:color w:val="000000"/>
                <w:sz w:val="28"/>
                <w:szCs w:val="28"/>
              </w:rPr>
              <w:t>的智慧管理体系。</w:t>
            </w:r>
          </w:p>
        </w:tc>
        <w:tc>
          <w:tcPr>
            <w:tcW w:w="1027" w:type="dxa"/>
            <w:vMerge w:val="continue"/>
          </w:tcPr>
          <w:p>
            <w:pPr>
              <w:snapToGrid w:val="0"/>
              <w:spacing w:line="360" w:lineRule="exact"/>
              <w:rPr>
                <w:rFonts w:eastAsia="仿宋_GB2312"/>
                <w:color w:val="000000"/>
                <w:sz w:val="28"/>
                <w:szCs w:val="28"/>
              </w:rPr>
            </w:pPr>
          </w:p>
        </w:tc>
        <w:tc>
          <w:tcPr>
            <w:tcW w:w="119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eastAsia="仿宋_GB2312"/>
                <w:color w:val="000000"/>
                <w:spacing w:val="-20"/>
                <w:sz w:val="28"/>
                <w:szCs w:val="28"/>
              </w:rPr>
            </w:pPr>
            <w:r>
              <w:rPr>
                <w:rFonts w:eastAsia="仿宋_GB2312"/>
                <w:color w:val="000000"/>
                <w:spacing w:val="-20"/>
                <w:sz w:val="28"/>
                <w:szCs w:val="28"/>
              </w:rPr>
              <w:t>2026年底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3" w:type="dxa"/>
            <w:vAlign w:val="center"/>
          </w:tcPr>
          <w:p>
            <w:pPr>
              <w:numPr>
                <w:ilvl w:val="0"/>
                <w:numId w:val="3"/>
              </w:numPr>
              <w:snapToGrid w:val="0"/>
              <w:spacing w:line="360" w:lineRule="exact"/>
              <w:jc w:val="center"/>
              <w:rPr>
                <w:rFonts w:eastAsia="仿宋_GB2312"/>
                <w:color w:val="000000"/>
                <w:sz w:val="28"/>
                <w:szCs w:val="28"/>
              </w:rPr>
            </w:pPr>
          </w:p>
        </w:tc>
        <w:tc>
          <w:tcPr>
            <w:tcW w:w="1676" w:type="dxa"/>
            <w:vMerge w:val="restart"/>
            <w:tcBorders>
              <w:left w:val="single" w:color="auto" w:sz="4" w:space="0"/>
              <w:right w:val="single" w:color="auto" w:sz="4" w:space="0"/>
            </w:tcBorders>
          </w:tcPr>
          <w:p>
            <w:pPr>
              <w:snapToGrid w:val="0"/>
              <w:spacing w:line="360" w:lineRule="exact"/>
              <w:jc w:val="center"/>
              <w:rPr>
                <w:rFonts w:eastAsia="仿宋_GB2312"/>
                <w:color w:val="000000"/>
                <w:sz w:val="28"/>
                <w:szCs w:val="28"/>
              </w:rPr>
            </w:pPr>
            <w:r>
              <w:rPr>
                <w:rFonts w:eastAsia="仿宋_GB2312"/>
                <w:bCs/>
                <w:color w:val="000000"/>
                <w:sz w:val="28"/>
                <w:szCs w:val="28"/>
              </w:rPr>
              <w:t>宣教普链—建平台、开课堂，营造园区污碳协同众推氛围</w:t>
            </w:r>
          </w:p>
        </w:tc>
        <w:tc>
          <w:tcPr>
            <w:tcW w:w="1867" w:type="dxa"/>
            <w:vAlign w:val="center"/>
          </w:tcPr>
          <w:p>
            <w:pPr>
              <w:snapToGrid w:val="0"/>
              <w:spacing w:line="360" w:lineRule="exact"/>
              <w:jc w:val="left"/>
              <w:rPr>
                <w:rFonts w:eastAsia="仿宋_GB2312"/>
                <w:color w:val="000000"/>
                <w:sz w:val="28"/>
                <w:szCs w:val="28"/>
              </w:rPr>
            </w:pPr>
            <w:r>
              <w:rPr>
                <w:rFonts w:eastAsia="仿宋_GB2312"/>
                <w:color w:val="000000"/>
                <w:sz w:val="28"/>
                <w:szCs w:val="28"/>
              </w:rPr>
              <w:t>营造</w:t>
            </w:r>
            <w:r>
              <w:rPr>
                <w:rFonts w:hint="eastAsia" w:eastAsia="仿宋_GB2312"/>
                <w:color w:val="000000"/>
                <w:sz w:val="28"/>
                <w:szCs w:val="28"/>
              </w:rPr>
              <w:t>“</w:t>
            </w:r>
            <w:r>
              <w:rPr>
                <w:rFonts w:eastAsia="仿宋_GB2312"/>
                <w:color w:val="000000"/>
                <w:sz w:val="28"/>
                <w:szCs w:val="28"/>
              </w:rPr>
              <w:t>公众说碳</w:t>
            </w:r>
            <w:r>
              <w:rPr>
                <w:rFonts w:hint="eastAsia" w:eastAsia="仿宋_GB2312"/>
                <w:color w:val="000000"/>
                <w:sz w:val="28"/>
                <w:szCs w:val="28"/>
              </w:rPr>
              <w:t>”</w:t>
            </w:r>
            <w:r>
              <w:rPr>
                <w:rFonts w:eastAsia="仿宋_GB2312"/>
                <w:color w:val="000000"/>
                <w:sz w:val="28"/>
                <w:szCs w:val="28"/>
              </w:rPr>
              <w:t>良好氛围</w:t>
            </w:r>
          </w:p>
        </w:tc>
        <w:tc>
          <w:tcPr>
            <w:tcW w:w="7287" w:type="dxa"/>
            <w:vAlign w:val="center"/>
          </w:tcPr>
          <w:p>
            <w:pPr>
              <w:snapToGrid w:val="0"/>
              <w:spacing w:line="360" w:lineRule="exact"/>
              <w:rPr>
                <w:rFonts w:eastAsia="仿宋_GB2312"/>
                <w:strike/>
                <w:color w:val="000000"/>
                <w:sz w:val="28"/>
                <w:szCs w:val="28"/>
              </w:rPr>
            </w:pPr>
            <w:r>
              <w:rPr>
                <w:rFonts w:eastAsia="仿宋_GB2312"/>
                <w:color w:val="000000"/>
                <w:sz w:val="28"/>
                <w:szCs w:val="28"/>
              </w:rPr>
              <w:t>以园区减污降碳协同创新试点作为专业化多维度行业设施平台，强化绿色低碳科普宣教阵地职能，打造城市会客厅。</w:t>
            </w:r>
          </w:p>
        </w:tc>
        <w:tc>
          <w:tcPr>
            <w:tcW w:w="1027" w:type="dxa"/>
            <w:vMerge w:val="continue"/>
          </w:tcPr>
          <w:p>
            <w:pPr>
              <w:snapToGrid w:val="0"/>
              <w:spacing w:line="360" w:lineRule="exact"/>
              <w:rPr>
                <w:rFonts w:eastAsia="仿宋_GB2312"/>
                <w:strike/>
                <w:color w:val="000000"/>
                <w:sz w:val="28"/>
                <w:szCs w:val="28"/>
              </w:rPr>
            </w:pPr>
          </w:p>
        </w:tc>
        <w:tc>
          <w:tcPr>
            <w:tcW w:w="1192" w:type="dxa"/>
            <w:vAlign w:val="center"/>
          </w:tcPr>
          <w:p>
            <w:pPr>
              <w:snapToGrid w:val="0"/>
              <w:spacing w:line="360" w:lineRule="exact"/>
              <w:jc w:val="center"/>
              <w:rPr>
                <w:rFonts w:eastAsia="仿宋_GB2312"/>
                <w:color w:val="000000"/>
                <w:spacing w:val="-20"/>
                <w:sz w:val="28"/>
                <w:szCs w:val="28"/>
              </w:rPr>
            </w:pPr>
            <w:r>
              <w:rPr>
                <w:rFonts w:eastAsia="仿宋_GB2312"/>
                <w:color w:val="000000"/>
                <w:spacing w:val="-20"/>
                <w:sz w:val="28"/>
                <w:szCs w:val="28"/>
              </w:rPr>
              <w:t>2026年底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943" w:type="dxa"/>
            <w:vAlign w:val="center"/>
          </w:tcPr>
          <w:p>
            <w:pPr>
              <w:numPr>
                <w:ilvl w:val="0"/>
                <w:numId w:val="3"/>
              </w:numPr>
              <w:snapToGrid w:val="0"/>
              <w:spacing w:line="360" w:lineRule="exact"/>
              <w:jc w:val="center"/>
              <w:rPr>
                <w:rFonts w:eastAsia="仿宋_GB2312"/>
                <w:color w:val="000000"/>
                <w:sz w:val="28"/>
                <w:szCs w:val="28"/>
              </w:rPr>
            </w:pPr>
          </w:p>
        </w:tc>
        <w:tc>
          <w:tcPr>
            <w:tcW w:w="1676" w:type="dxa"/>
            <w:vMerge w:val="continue"/>
            <w:tcBorders>
              <w:left w:val="single" w:color="auto" w:sz="4" w:space="0"/>
              <w:right w:val="single" w:color="auto" w:sz="4" w:space="0"/>
            </w:tcBorders>
          </w:tcPr>
          <w:p>
            <w:pPr>
              <w:snapToGrid w:val="0"/>
              <w:spacing w:line="360" w:lineRule="exact"/>
              <w:rPr>
                <w:rFonts w:eastAsia="仿宋_GB2312"/>
                <w:b/>
                <w:bCs/>
                <w:color w:val="000000"/>
                <w:sz w:val="28"/>
                <w:szCs w:val="28"/>
              </w:rPr>
            </w:pPr>
          </w:p>
        </w:tc>
        <w:tc>
          <w:tcPr>
            <w:tcW w:w="1867" w:type="dxa"/>
            <w:vAlign w:val="center"/>
          </w:tcPr>
          <w:p>
            <w:pPr>
              <w:snapToGrid w:val="0"/>
              <w:spacing w:line="360" w:lineRule="exact"/>
              <w:jc w:val="left"/>
              <w:rPr>
                <w:rFonts w:eastAsia="仿宋_GB2312"/>
                <w:color w:val="000000"/>
                <w:sz w:val="28"/>
                <w:szCs w:val="28"/>
              </w:rPr>
            </w:pPr>
            <w:r>
              <w:rPr>
                <w:rFonts w:eastAsia="仿宋_GB2312"/>
                <w:color w:val="000000"/>
                <w:sz w:val="28"/>
                <w:szCs w:val="28"/>
              </w:rPr>
              <w:t>嵌入式推广降碳模式</w:t>
            </w:r>
          </w:p>
        </w:tc>
        <w:tc>
          <w:tcPr>
            <w:tcW w:w="7287" w:type="dxa"/>
            <w:vAlign w:val="center"/>
          </w:tcPr>
          <w:p>
            <w:pPr>
              <w:snapToGrid w:val="0"/>
              <w:spacing w:line="360" w:lineRule="exact"/>
              <w:rPr>
                <w:rFonts w:eastAsia="仿宋_GB2312"/>
                <w:color w:val="000000"/>
                <w:sz w:val="28"/>
                <w:szCs w:val="28"/>
              </w:rPr>
            </w:pPr>
            <w:r>
              <w:rPr>
                <w:rFonts w:eastAsia="仿宋_GB2312"/>
                <w:color w:val="000000"/>
                <w:sz w:val="28"/>
                <w:szCs w:val="28"/>
              </w:rPr>
              <w:t>开发社会大课堂课程，普及资源循环利用知识；建设教研实习基地，为科技发展提供</w:t>
            </w:r>
            <w:r>
              <w:rPr>
                <w:rFonts w:hint="eastAsia" w:eastAsia="仿宋_GB2312"/>
                <w:color w:val="000000"/>
                <w:sz w:val="28"/>
                <w:szCs w:val="28"/>
              </w:rPr>
              <w:t>创新</w:t>
            </w:r>
            <w:r>
              <w:rPr>
                <w:rFonts w:eastAsia="仿宋_GB2312"/>
                <w:color w:val="000000"/>
                <w:sz w:val="28"/>
                <w:szCs w:val="28"/>
              </w:rPr>
              <w:t>平台；建立生态文明宣传教育平台，向公众开展生态文明、环保理念宣传和职业技能培训。</w:t>
            </w:r>
          </w:p>
        </w:tc>
        <w:tc>
          <w:tcPr>
            <w:tcW w:w="1027" w:type="dxa"/>
            <w:vMerge w:val="continue"/>
          </w:tcPr>
          <w:p>
            <w:pPr>
              <w:snapToGrid w:val="0"/>
              <w:spacing w:line="360" w:lineRule="exact"/>
              <w:rPr>
                <w:rFonts w:eastAsia="仿宋_GB2312"/>
                <w:strike/>
                <w:color w:val="000000"/>
                <w:sz w:val="28"/>
                <w:szCs w:val="28"/>
              </w:rPr>
            </w:pPr>
          </w:p>
        </w:tc>
        <w:tc>
          <w:tcPr>
            <w:tcW w:w="1192" w:type="dxa"/>
            <w:vAlign w:val="center"/>
          </w:tcPr>
          <w:p>
            <w:pPr>
              <w:snapToGrid w:val="0"/>
              <w:spacing w:line="360" w:lineRule="exact"/>
              <w:jc w:val="center"/>
              <w:rPr>
                <w:rFonts w:eastAsia="仿宋_GB2312"/>
                <w:color w:val="000000"/>
                <w:spacing w:val="-20"/>
                <w:sz w:val="28"/>
                <w:szCs w:val="28"/>
              </w:rPr>
            </w:pPr>
            <w:r>
              <w:rPr>
                <w:rFonts w:eastAsia="仿宋_GB2312"/>
                <w:color w:val="000000"/>
                <w:spacing w:val="-20"/>
                <w:sz w:val="28"/>
                <w:szCs w:val="28"/>
              </w:rPr>
              <w:t>2026年底</w:t>
            </w:r>
          </w:p>
        </w:tc>
      </w:tr>
    </w:tbl>
    <w:p/>
    <w:sectPr>
      <w:pgSz w:w="16838" w:h="11906" w:orient="landscape"/>
      <w:pgMar w:top="1474" w:right="1418" w:bottom="1588"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16</w:t>
    </w:r>
    <w:r>
      <w:fldChar w:fldCharType="end"/>
    </w:r>
  </w:p>
  <w:p>
    <w:pPr>
      <w:pStyle w:val="3"/>
      <w:jc w:val="right"/>
      <w:rPr>
        <w:sz w:val="24"/>
        <w:szCs w:val="24"/>
      </w:rPr>
    </w:pPr>
  </w:p>
  <w:p>
    <w:pPr>
      <w:pStyle w:val="3"/>
      <w:jc w:val="right"/>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4"/>
      </w:rPr>
    </w:pPr>
    <w:r>
      <w:rPr>
        <w:sz w:val="24"/>
      </w:rPr>
      <w:fldChar w:fldCharType="begin"/>
    </w:r>
    <w:r>
      <w:rPr>
        <w:sz w:val="24"/>
      </w:rPr>
      <w:instrText xml:space="preserve">PAGE   \* MERGEFORMAT</w:instrText>
    </w:r>
    <w:r>
      <w:rPr>
        <w:sz w:val="24"/>
      </w:rPr>
      <w:fldChar w:fldCharType="separate"/>
    </w:r>
    <w:r>
      <w:rPr>
        <w:sz w:val="24"/>
        <w:lang w:val="zh-CN"/>
      </w:rPr>
      <w:t>-</w:t>
    </w:r>
    <w:r>
      <w:rPr>
        <w:sz w:val="24"/>
      </w:rPr>
      <w:t xml:space="preserve"> 14 -</w:t>
    </w:r>
    <w:r>
      <w:rPr>
        <w:sz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91F3A"/>
    <w:multiLevelType w:val="multilevel"/>
    <w:tmpl w:val="0F891F3A"/>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254224"/>
    <w:multiLevelType w:val="multilevel"/>
    <w:tmpl w:val="60254224"/>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64D81FE5"/>
    <w:multiLevelType w:val="singleLevel"/>
    <w:tmpl w:val="64D81FE5"/>
    <w:lvl w:ilvl="0" w:tentative="0">
      <w:start w:val="2"/>
      <w:numFmt w:val="chineseCounting"/>
      <w:suff w:val="nothing"/>
      <w:lvlText w:val="%1、"/>
      <w:lvlJc w:val="left"/>
      <w:rPr>
        <w:rFonts w:hint="eastAsia" w:ascii="黑体" w:hAnsi="黑体" w:eastAsia="黑体"/>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896"/>
    <w:rsid w:val="00045751"/>
    <w:rsid w:val="005453A0"/>
    <w:rsid w:val="008943B4"/>
    <w:rsid w:val="00A86896"/>
    <w:rsid w:val="00E31373"/>
    <w:rsid w:val="00FB14AB"/>
    <w:rsid w:val="23353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ody Text"/>
    <w:basedOn w:val="1"/>
    <w:link w:val="8"/>
    <w:unhideWhenUsed/>
    <w:qFormat/>
    <w:uiPriority w:val="99"/>
    <w:pPr>
      <w:spacing w:after="120"/>
    </w:p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字符"/>
    <w:basedOn w:val="5"/>
    <w:link w:val="3"/>
    <w:qFormat/>
    <w:uiPriority w:val="99"/>
    <w:rPr>
      <w:rFonts w:ascii="Times New Roman" w:hAnsi="Times New Roman" w:eastAsia="宋体" w:cs="Times New Roman"/>
      <w:sz w:val="18"/>
      <w:szCs w:val="18"/>
    </w:rPr>
  </w:style>
  <w:style w:type="character" w:customStyle="1" w:styleId="8">
    <w:name w:val="正文文本 字符"/>
    <w:basedOn w:val="5"/>
    <w:link w:val="2"/>
    <w:qFormat/>
    <w:uiPriority w:val="99"/>
    <w:rPr>
      <w:rFonts w:ascii="Times New Roman" w:hAnsi="Times New Roman" w:eastAsia="宋体" w:cs="Times New Roman"/>
      <w:szCs w:val="24"/>
    </w:rPr>
  </w:style>
  <w:style w:type="character" w:customStyle="1" w:styleId="9">
    <w:name w:val="页眉 字符"/>
    <w:basedOn w:val="5"/>
    <w:link w:val="4"/>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1201</Words>
  <Characters>6850</Characters>
  <Lines>57</Lines>
  <Paragraphs>16</Paragraphs>
  <TotalTime>0</TotalTime>
  <ScaleCrop>false</ScaleCrop>
  <LinksUpToDate>false</LinksUpToDate>
  <CharactersWithSpaces>8035</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2024-08-20T07:39:00Z</dcterms:created>
  <dc:creator>刘贺</dc:creator>
  <cp:lastModifiedBy>yangshuo</cp:lastModifiedBy>
  <dcterms:modified xsi:type="dcterms:W3CDTF">2024-08-30T07:29:42Z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