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Theme="minorEastAsia" w:hAnsiTheme="minorEastAsia"/>
          <w:b/>
          <w:sz w:val="44"/>
          <w:szCs w:val="44"/>
        </w:rPr>
      </w:pPr>
      <w:r>
        <w:rPr>
          <w:rFonts w:hint="eastAsia" w:asciiTheme="minorEastAsia" w:hAnsiTheme="minorEastAsia"/>
          <w:b/>
          <w:sz w:val="44"/>
          <w:szCs w:val="44"/>
        </w:rPr>
        <w:t>2023年</w:t>
      </w:r>
      <w:r>
        <w:rPr>
          <w:rFonts w:hint="eastAsia" w:asciiTheme="minorEastAsia" w:hAnsiTheme="minorEastAsia"/>
          <w:b/>
          <w:sz w:val="44"/>
          <w:szCs w:val="44"/>
          <w:lang w:eastAsia="zh-CN"/>
        </w:rPr>
        <w:t>1-</w:t>
      </w:r>
      <w:r>
        <w:rPr>
          <w:rFonts w:hint="eastAsia" w:asciiTheme="minorEastAsia" w:hAnsiTheme="minorEastAsia"/>
          <w:b/>
          <w:sz w:val="44"/>
          <w:szCs w:val="44"/>
          <w:lang w:val="en-US" w:eastAsia="zh-CN"/>
        </w:rPr>
        <w:t>9</w:t>
      </w:r>
      <w:r>
        <w:rPr>
          <w:rFonts w:hint="eastAsia" w:asciiTheme="minorEastAsia" w:hAnsiTheme="minorEastAsia"/>
          <w:b/>
          <w:sz w:val="44"/>
          <w:szCs w:val="44"/>
        </w:rPr>
        <w:t>月中关村朝阳园</w:t>
      </w:r>
      <w:r>
        <w:rPr>
          <w:rFonts w:hint="eastAsia" w:asciiTheme="minorEastAsia" w:hAnsiTheme="minorEastAsia"/>
          <w:b/>
          <w:sz w:val="44"/>
          <w:szCs w:val="44"/>
          <w:lang w:eastAsia="zh-CN"/>
        </w:rPr>
        <w:t>规模（限额）以上</w:t>
      </w:r>
      <w:r>
        <w:rPr>
          <w:rFonts w:hint="eastAsia" w:asciiTheme="minorEastAsia" w:hAnsiTheme="minorEastAsia"/>
          <w:b/>
          <w:sz w:val="44"/>
          <w:szCs w:val="44"/>
        </w:rPr>
        <w:t>重点企业主要指标完成情况</w:t>
      </w:r>
    </w:p>
    <w:p>
      <w:pPr>
        <w:spacing w:line="480" w:lineRule="auto"/>
        <w:jc w:val="center"/>
        <w:rPr>
          <w:rFonts w:hint="eastAsia" w:asciiTheme="minorEastAsia" w:hAnsiTheme="minorEastAsia"/>
          <w:b/>
          <w:sz w:val="44"/>
          <w:szCs w:val="44"/>
        </w:rPr>
      </w:pPr>
    </w:p>
    <w:p>
      <w:pPr>
        <w:spacing w:line="48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2023年</w:t>
      </w:r>
      <w:r>
        <w:rPr>
          <w:rFonts w:hint="eastAsia" w:ascii="宋体" w:hAnsi="宋体" w:eastAsia="宋体"/>
          <w:color w:val="000000" w:themeColor="text1"/>
          <w:sz w:val="28"/>
          <w:szCs w:val="28"/>
          <w:lang w:eastAsia="zh-CN"/>
          <w14:textFill>
            <w14:solidFill>
              <w14:schemeClr w14:val="tx1"/>
            </w14:solidFill>
          </w14:textFill>
        </w:rPr>
        <w:t>1-</w:t>
      </w:r>
      <w:r>
        <w:rPr>
          <w:rFonts w:hint="eastAsia" w:ascii="宋体" w:hAnsi="宋体" w:eastAsia="宋体"/>
          <w:color w:val="000000" w:themeColor="text1"/>
          <w:sz w:val="28"/>
          <w:szCs w:val="28"/>
          <w:lang w:val="en-US" w:eastAsia="zh-CN"/>
          <w14:textFill>
            <w14:solidFill>
              <w14:schemeClr w14:val="tx1"/>
            </w14:solidFill>
          </w14:textFill>
        </w:rPr>
        <w:t>9</w:t>
      </w:r>
      <w:r>
        <w:rPr>
          <w:rFonts w:hint="eastAsia" w:ascii="宋体" w:hAnsi="宋体" w:eastAsia="宋体"/>
          <w:color w:val="000000" w:themeColor="text1"/>
          <w:sz w:val="28"/>
          <w:szCs w:val="28"/>
          <w14:textFill>
            <w14:solidFill>
              <w14:schemeClr w14:val="tx1"/>
            </w14:solidFill>
          </w14:textFill>
        </w:rPr>
        <w:t>月，中关村朝阳园</w:t>
      </w:r>
      <w:r>
        <w:rPr>
          <w:rFonts w:hint="eastAsia" w:ascii="宋体" w:hAnsi="宋体" w:eastAsia="宋体"/>
          <w:color w:val="000000" w:themeColor="text1"/>
          <w:sz w:val="28"/>
          <w:szCs w:val="28"/>
          <w:lang w:eastAsia="zh-CN"/>
          <w14:textFill>
            <w14:solidFill>
              <w14:schemeClr w14:val="tx1"/>
            </w14:solidFill>
          </w14:textFill>
        </w:rPr>
        <w:t>规模（限额）以上</w:t>
      </w:r>
      <w:r>
        <w:rPr>
          <w:rFonts w:hint="eastAsia" w:ascii="宋体" w:hAnsi="宋体" w:eastAsia="宋体"/>
          <w:color w:val="000000" w:themeColor="text1"/>
          <w:sz w:val="28"/>
          <w:szCs w:val="28"/>
          <w14:textFill>
            <w14:solidFill>
              <w14:schemeClr w14:val="tx1"/>
            </w14:solidFill>
          </w14:textFill>
        </w:rPr>
        <w:t>重点企业（以下简称朝阳园重点企业）实现总收入</w:t>
      </w:r>
      <w:r>
        <w:rPr>
          <w:rFonts w:hint="eastAsia" w:ascii="宋体" w:hAnsi="宋体" w:eastAsia="宋体"/>
          <w:color w:val="000000" w:themeColor="text1"/>
          <w:sz w:val="28"/>
          <w:szCs w:val="28"/>
          <w:lang w:val="en-US" w:eastAsia="zh-CN"/>
          <w14:textFill>
            <w14:solidFill>
              <w14:schemeClr w14:val="tx1"/>
            </w14:solidFill>
          </w14:textFill>
        </w:rPr>
        <w:t>2801.5</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lang w:val="en-US" w:eastAsia="zh-CN"/>
          <w14:textFill>
            <w14:solidFill>
              <w14:schemeClr w14:val="tx1"/>
            </w14:solidFill>
          </w14:textFill>
        </w:rPr>
        <w:t>9.2%</w:t>
      </w:r>
      <w:r>
        <w:rPr>
          <w:rFonts w:hint="eastAsia" w:ascii="宋体" w:hAnsi="宋体" w:eastAsia="宋体"/>
          <w:color w:val="000000" w:themeColor="text1"/>
          <w:sz w:val="28"/>
          <w:szCs w:val="28"/>
          <w14:textFill>
            <w14:solidFill>
              <w14:schemeClr w14:val="tx1"/>
            </w14:solidFill>
          </w14:textFill>
        </w:rPr>
        <w:t>，其中，实现技术收入</w:t>
      </w:r>
      <w:r>
        <w:rPr>
          <w:rFonts w:hint="eastAsia" w:ascii="宋体" w:hAnsi="宋体" w:eastAsia="宋体"/>
          <w:color w:val="000000" w:themeColor="text1"/>
          <w:sz w:val="28"/>
          <w:szCs w:val="28"/>
          <w:lang w:val="en-US" w:eastAsia="zh-CN"/>
          <w14:textFill>
            <w14:solidFill>
              <w14:schemeClr w14:val="tx1"/>
            </w14:solidFill>
          </w14:textFill>
        </w:rPr>
        <w:t>957.8</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lang w:val="en-US" w:eastAsia="zh-CN"/>
          <w14:textFill>
            <w14:solidFill>
              <w14:schemeClr w14:val="tx1"/>
            </w14:solidFill>
          </w14:textFill>
        </w:rPr>
        <w:t>13.4</w:t>
      </w:r>
      <w:r>
        <w:rPr>
          <w:rFonts w:hint="eastAsia" w:ascii="宋体" w:hAnsi="宋体" w:eastAsia="宋体"/>
          <w:color w:val="000000" w:themeColor="text1"/>
          <w:sz w:val="28"/>
          <w:szCs w:val="28"/>
          <w14:textFill>
            <w14:solidFill>
              <w14:schemeClr w14:val="tx1"/>
            </w14:solidFill>
          </w14:textFill>
        </w:rPr>
        <w:t>%。</w:t>
      </w:r>
    </w:p>
    <w:p>
      <w:pPr>
        <w:spacing w:line="480" w:lineRule="auto"/>
        <w:ind w:firstLine="560" w:firstLineChars="200"/>
        <w:rPr>
          <w:rFonts w:hint="eastAsia" w:ascii="宋体" w:hAnsi="宋体" w:eastAsia="宋体"/>
          <w:color w:val="000000" w:themeColor="text1"/>
          <w:sz w:val="28"/>
          <w:szCs w:val="28"/>
          <w:lang w:val="en-US"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w:t>
      </w:r>
      <w:r>
        <w:rPr>
          <w:rFonts w:hint="eastAsia" w:ascii="宋体" w:hAnsi="宋体" w:eastAsia="宋体"/>
          <w:color w:val="000000" w:themeColor="text1"/>
          <w:sz w:val="28"/>
          <w:szCs w:val="28"/>
          <w:lang w:val="en-US" w:eastAsia="zh-CN"/>
          <w14:textFill>
            <w14:solidFill>
              <w14:schemeClr w14:val="tx1"/>
            </w14:solidFill>
          </w14:textFill>
        </w:rPr>
        <w:t>9</w:t>
      </w:r>
      <w:r>
        <w:rPr>
          <w:rFonts w:hint="eastAsia" w:ascii="宋体" w:hAnsi="宋体" w:eastAsia="宋体"/>
          <w:color w:val="000000" w:themeColor="text1"/>
          <w:sz w:val="28"/>
          <w:szCs w:val="28"/>
          <w14:textFill>
            <w14:solidFill>
              <w14:schemeClr w14:val="tx1"/>
            </w14:solidFill>
          </w14:textFill>
        </w:rPr>
        <w:t>月，朝阳园重点企业</w:t>
      </w:r>
      <w:r>
        <w:rPr>
          <w:rFonts w:hint="eastAsia" w:ascii="宋体" w:hAnsi="宋体" w:eastAsia="宋体"/>
          <w:color w:val="000000" w:themeColor="text1"/>
          <w:sz w:val="28"/>
          <w:szCs w:val="28"/>
          <w:lang w:eastAsia="zh-CN"/>
          <w14:textFill>
            <w14:solidFill>
              <w14:schemeClr w14:val="tx1"/>
            </w14:solidFill>
          </w14:textFill>
        </w:rPr>
        <w:t>实现利润总额</w:t>
      </w:r>
      <w:r>
        <w:rPr>
          <w:rFonts w:hint="eastAsia" w:ascii="宋体" w:hAnsi="宋体" w:eastAsia="宋体"/>
          <w:color w:val="000000" w:themeColor="text1"/>
          <w:sz w:val="28"/>
          <w:szCs w:val="28"/>
          <w:lang w:val="en-US" w:eastAsia="zh-CN"/>
          <w14:textFill>
            <w14:solidFill>
              <w14:schemeClr w14:val="tx1"/>
            </w14:solidFill>
          </w14:textFill>
        </w:rPr>
        <w:t>485.9亿元，同比增长21.1%。</w:t>
      </w:r>
    </w:p>
    <w:p>
      <w:pPr>
        <w:spacing w:line="480" w:lineRule="auto"/>
        <w:ind w:firstLine="560" w:firstLineChars="20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val="en-US" w:eastAsia="zh-CN"/>
          <w14:textFill>
            <w14:solidFill>
              <w14:schemeClr w14:val="tx1"/>
            </w14:solidFill>
          </w14:textFill>
        </w:rPr>
        <w:t>1-9月，</w:t>
      </w:r>
      <w:r>
        <w:rPr>
          <w:rFonts w:hint="eastAsia" w:ascii="宋体" w:hAnsi="宋体" w:eastAsia="宋体"/>
          <w:color w:val="000000" w:themeColor="text1"/>
          <w:sz w:val="28"/>
          <w:szCs w:val="28"/>
          <w14:textFill>
            <w14:solidFill>
              <w14:schemeClr w14:val="tx1"/>
            </w14:solidFill>
          </w14:textFill>
        </w:rPr>
        <w:t>朝阳园重点企业</w:t>
      </w:r>
      <w:r>
        <w:rPr>
          <w:rFonts w:hint="eastAsia" w:ascii="宋体" w:hAnsi="宋体" w:eastAsia="宋体"/>
          <w:color w:val="000000" w:themeColor="text1"/>
          <w:sz w:val="28"/>
          <w:szCs w:val="28"/>
          <w:lang w:eastAsia="zh-CN"/>
          <w14:textFill>
            <w14:solidFill>
              <w14:schemeClr w14:val="tx1"/>
            </w14:solidFill>
          </w14:textFill>
        </w:rPr>
        <w:t>中，国家高新技术企业实现总收入</w:t>
      </w:r>
      <w:r>
        <w:rPr>
          <w:rFonts w:hint="eastAsia" w:ascii="宋体" w:hAnsi="宋体" w:eastAsia="宋体"/>
          <w:color w:val="000000" w:themeColor="text1"/>
          <w:sz w:val="28"/>
          <w:szCs w:val="28"/>
          <w:lang w:val="en-US" w:eastAsia="zh-CN"/>
          <w14:textFill>
            <w14:solidFill>
              <w14:schemeClr w14:val="tx1"/>
            </w14:solidFill>
          </w14:textFill>
        </w:rPr>
        <w:t>1804.2</w:t>
      </w:r>
      <w:r>
        <w:rPr>
          <w:rFonts w:hint="eastAsia" w:ascii="宋体" w:hAnsi="宋体" w:eastAsia="宋体"/>
          <w:color w:val="000000" w:themeColor="text1"/>
          <w:sz w:val="28"/>
          <w:szCs w:val="28"/>
          <w:lang w:eastAsia="zh-CN"/>
          <w14:textFill>
            <w14:solidFill>
              <w14:schemeClr w14:val="tx1"/>
            </w14:solidFill>
          </w14:textFill>
        </w:rPr>
        <w:t>亿元，同比增加</w:t>
      </w:r>
      <w:r>
        <w:rPr>
          <w:rFonts w:hint="eastAsia" w:ascii="宋体" w:hAnsi="宋体" w:eastAsia="宋体"/>
          <w:color w:val="000000" w:themeColor="text1"/>
          <w:sz w:val="28"/>
          <w:szCs w:val="28"/>
          <w:lang w:val="en-US" w:eastAsia="zh-CN"/>
          <w14:textFill>
            <w14:solidFill>
              <w14:schemeClr w14:val="tx1"/>
            </w14:solidFill>
          </w14:textFill>
        </w:rPr>
        <w:t>49.3亿元，增长2.8%。</w:t>
      </w:r>
    </w:p>
    <w:p>
      <w:pPr>
        <w:spacing w:line="480" w:lineRule="auto"/>
        <w:ind w:firstLine="560" w:firstLineChars="200"/>
        <w:rPr>
          <w:rFonts w:hint="eastAsia" w:ascii="宋体" w:hAnsi="宋体" w:eastAsia="宋体"/>
          <w:color w:val="000000" w:themeColor="text1"/>
          <w:sz w:val="28"/>
          <w:szCs w:val="28"/>
          <w:lang w:val="en-US" w:eastAsia="zh-CN"/>
          <w14:textFill>
            <w14:solidFill>
              <w14:schemeClr w14:val="tx1"/>
            </w14:solidFill>
          </w14:textFill>
        </w:rPr>
      </w:pPr>
      <w:bookmarkStart w:id="0" w:name="_GoBack"/>
      <w:bookmarkEnd w:id="0"/>
    </w:p>
    <w:p>
      <w:pPr>
        <w:spacing w:line="480" w:lineRule="auto"/>
        <w:ind w:firstLine="562" w:firstLineChars="200"/>
        <w:rPr>
          <w:rFonts w:hint="eastAsia" w:ascii="宋体" w:hAnsi="宋体" w:eastAsia="宋体"/>
          <w:b/>
          <w:color w:val="000000" w:themeColor="text1"/>
          <w:sz w:val="28"/>
          <w:szCs w:val="28"/>
          <w14:textFill>
            <w14:solidFill>
              <w14:schemeClr w14:val="tx1"/>
            </w14:solidFill>
          </w14:textFill>
        </w:rPr>
      </w:pPr>
    </w:p>
    <w:p>
      <w:pPr>
        <w:spacing w:line="480" w:lineRule="auto"/>
        <w:ind w:firstLine="562" w:firstLineChars="200"/>
        <w:rPr>
          <w:rFonts w:hint="eastAsia" w:ascii="宋体" w:hAnsi="宋体" w:eastAsia="宋体"/>
          <w:b/>
          <w:color w:val="000000" w:themeColor="text1"/>
          <w:sz w:val="28"/>
          <w:szCs w:val="28"/>
          <w14:textFill>
            <w14:solidFill>
              <w14:schemeClr w14:val="tx1"/>
            </w14:solidFill>
          </w14:textFill>
        </w:rPr>
      </w:pPr>
    </w:p>
    <w:p>
      <w:pPr>
        <w:spacing w:line="480" w:lineRule="auto"/>
        <w:ind w:firstLine="562" w:firstLineChars="200"/>
        <w:rPr>
          <w:rFonts w:hint="eastAsia" w:ascii="宋体" w:hAnsi="宋体" w:eastAsia="宋体"/>
          <w:b/>
          <w:color w:val="000000" w:themeColor="text1"/>
          <w:sz w:val="28"/>
          <w:szCs w:val="28"/>
          <w14:textFill>
            <w14:solidFill>
              <w14:schemeClr w14:val="tx1"/>
            </w14:solidFill>
          </w14:textFill>
        </w:rPr>
      </w:pPr>
    </w:p>
    <w:p>
      <w:pPr>
        <w:spacing w:line="480" w:lineRule="auto"/>
        <w:ind w:firstLine="562" w:firstLineChars="200"/>
        <w:rPr>
          <w:rFonts w:hint="eastAsia"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附注:</w:t>
      </w:r>
    </w:p>
    <w:p>
      <w:pPr>
        <w:spacing w:line="48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同比增长是利用统计范围内调查单位填报的相关指标“1-本月”及“上年同期”数据计算取得。</w:t>
      </w:r>
    </w:p>
    <w:p>
      <w:pPr>
        <w:spacing w:line="480" w:lineRule="auto"/>
        <w:ind w:firstLine="562" w:firstLineChars="200"/>
        <w:rPr>
          <w:rFonts w:hint="eastAsia" w:ascii="宋体" w:hAnsi="宋体" w:eastAsia="宋体"/>
          <w:b/>
          <w:color w:val="000000" w:themeColor="text1"/>
          <w:sz w:val="28"/>
          <w:szCs w:val="28"/>
          <w14:textFill>
            <w14:solidFill>
              <w14:schemeClr w14:val="tx1"/>
            </w14:solidFill>
          </w14:textFill>
        </w:rPr>
      </w:pPr>
    </w:p>
    <w:p>
      <w:pPr>
        <w:spacing w:line="480" w:lineRule="auto"/>
        <w:ind w:firstLine="562" w:firstLineChars="200"/>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一、统计范围</w:t>
      </w:r>
    </w:p>
    <w:p>
      <w:pPr>
        <w:spacing w:line="48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注册在中关村示范区朝阳园的</w:t>
      </w:r>
      <w:r>
        <w:rPr>
          <w:rFonts w:hint="eastAsia" w:ascii="宋体" w:hAnsi="宋体" w:eastAsia="宋体"/>
          <w:color w:val="000000" w:themeColor="text1"/>
          <w:sz w:val="28"/>
          <w:szCs w:val="28"/>
          <w:lang w:eastAsia="zh-CN"/>
          <w14:textFill>
            <w14:solidFill>
              <w14:schemeClr w14:val="tx1"/>
            </w14:solidFill>
          </w14:textFill>
        </w:rPr>
        <w:t>规模（限额）以上</w:t>
      </w:r>
      <w:r>
        <w:rPr>
          <w:rFonts w:hint="eastAsia" w:ascii="宋体" w:hAnsi="宋体" w:eastAsia="宋体"/>
          <w:color w:val="000000" w:themeColor="text1"/>
          <w:sz w:val="28"/>
          <w:szCs w:val="28"/>
          <w14:textFill>
            <w14:solidFill>
              <w14:schemeClr w14:val="tx1"/>
            </w14:solidFill>
          </w14:textFill>
        </w:rPr>
        <w:t>重点法人单位。</w:t>
      </w:r>
    </w:p>
    <w:p>
      <w:pPr>
        <w:spacing w:line="480" w:lineRule="auto"/>
        <w:ind w:firstLine="562" w:firstLineChars="200"/>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二、采集渠道</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通过北京统计联网直报系统上报。</w:t>
      </w:r>
    </w:p>
    <w:p>
      <w:pPr>
        <w:spacing w:line="480" w:lineRule="auto"/>
        <w:ind w:firstLine="562" w:firstLineChars="200"/>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三、指标解释</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总收入：指企业全年的生产产品销售收入、技术性收入和与本企业产品相关的商品的销售收入、其他收入等各种收入的总和，等于主营业务收入加上其他业务收入。总收入应按不含增值税的价格计算，不包括补贴收入、营业外收入、投资收益。 </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研究开发费用对应。</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三大重点监测高新技术领域：电子与信息、先进制造技术、新能源与高效节能技术。</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F6B13"/>
    <w:rsid w:val="0F3F6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2023-11-01T08:27:00Z</dcterms:created>
  <dc:creator>田晓青</dc:creator>
  <cp:lastModifiedBy>田晓青</cp:lastModifiedBy>
  <dcterms:modified xsi:type="dcterms:W3CDTF">2023-11-01T08:40:53Z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