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2026年首届中国新文创市集暨潮玩游园会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朝阳区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“潮玩惠民礼包”发放方案</w:t>
      </w:r>
    </w:p>
    <w:p>
      <w:pPr>
        <w:spacing w:after="0" w:line="560" w:lineRule="exact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潮玩及商业消费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领域）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highlight w:val="none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为紧抓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</w:rPr>
        <w:t>2026年首届中国新文创市集暨潮玩游园会举办契机，丰富市集消费供给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，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</w:rPr>
        <w:t>优化群众消费体验，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营造浓郁消费氛围，朝阳区拟于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活动期间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发放“潮玩惠民礼包”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highlight w:val="none"/>
        </w:rPr>
        <w:t>现草拟《2026年首届中国新文创市集暨潮玩游园会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highlight w:val="none"/>
          <w:lang w:eastAsia="zh-CN"/>
        </w:rPr>
        <w:t>朝阳区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highlight w:val="none"/>
        </w:rPr>
        <w:t>“潮玩惠民礼包”发放方案》。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一、活动</w:t>
      </w: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朝阳区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“潮玩惠民礼包”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24"/>
        </w:rPr>
      </w:pPr>
      <w:r>
        <w:rPr>
          <w:rFonts w:hint="default" w:ascii="黑体" w:hAnsi="黑体" w:eastAsia="黑体" w:cs="黑体"/>
          <w:color w:val="auto"/>
          <w:sz w:val="32"/>
          <w:szCs w:val="24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发放对象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val="en-US" w:eastAsia="zh-CN"/>
        </w:rPr>
        <w:t>自然人消费者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  <w:szCs w:val="21"/>
        </w:rPr>
      </w:pPr>
      <w:r>
        <w:rPr>
          <w:rFonts w:ascii="Times New Roman" w:hAnsi="Times New Roman" w:eastAsia="楷体_GB2312" w:cs="Times New Roman"/>
          <w:color w:val="auto"/>
          <w:sz w:val="32"/>
          <w:szCs w:val="21"/>
        </w:rPr>
        <w:t>（二）发放时间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2026年5月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val="en-US" w:eastAsia="zh-CN"/>
        </w:rPr>
        <w:t>15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日0时—5月24日24时。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  <w:szCs w:val="21"/>
        </w:rPr>
      </w:pPr>
      <w:r>
        <w:rPr>
          <w:rFonts w:ascii="Times New Roman" w:hAnsi="Times New Roman" w:eastAsia="楷体_GB2312" w:cs="Times New Roman"/>
          <w:color w:val="auto"/>
          <w:sz w:val="32"/>
          <w:szCs w:val="21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lang w:eastAsia="zh-CN"/>
        </w:rPr>
        <w:t>拟</w:t>
      </w:r>
      <w:r>
        <w:rPr>
          <w:rFonts w:ascii="Times New Roman" w:hAnsi="Times New Roman" w:eastAsia="楷体_GB2312" w:cs="Times New Roman"/>
          <w:color w:val="auto"/>
          <w:sz w:val="32"/>
          <w:szCs w:val="21"/>
        </w:rPr>
        <w:t>发放规模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eastAsia="zh-CN"/>
        </w:rPr>
        <w:t>朝阳区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“潮玩惠民礼包”资金总额共计1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0万元，由朝阳区商务局负责组织发放。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  <w:szCs w:val="21"/>
        </w:rPr>
      </w:pPr>
      <w:r>
        <w:rPr>
          <w:rFonts w:ascii="Times New Roman" w:hAnsi="Times New Roman" w:eastAsia="楷体_GB2312" w:cs="Times New Roman"/>
          <w:color w:val="auto"/>
          <w:sz w:val="32"/>
          <w:szCs w:val="21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21"/>
        </w:rPr>
        <w:t>礼包权益设定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本次“潮玩惠民礼包”设置三档满减额度，分别为满200元减60元、满500元减150元、满1000元减300元。单笔消费订单仅可使用1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eastAsia="zh-CN"/>
        </w:rPr>
        <w:t>档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  <w:szCs w:val="21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21"/>
          <w:highlight w:val="none"/>
        </w:rPr>
        <w:t>（五）发放主体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本次“潮玩惠民礼包”发放主体为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规范经营的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互联网平台，具备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礼包的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电子化发放和核销能力，能够结合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活动进行整体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策划，组织规范经营的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企业积极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1"/>
          <w:lang w:val="en-US" w:eastAsia="zh-CN" w:bidi="ar-SA"/>
        </w:rPr>
        <w:t>参与。我局将结合企业申报情况，综合考虑经济拉动、知名度、影响力、配套资源等因素，选定发放主体。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highlight w:val="none"/>
        </w:rPr>
      </w:pPr>
      <w:r>
        <w:rPr>
          <w:rFonts w:hint="eastAsia" w:ascii="Times New Roman Regular" w:hAnsi="Times New Roman Regular" w:eastAsia="楷体_GB2312" w:cs="Times New Roman Regular"/>
          <w:color w:val="auto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 Regular" w:hAnsi="Times New Roman Regular" w:eastAsia="楷体_GB2312" w:cs="Times New Roman Regular"/>
          <w:color w:val="auto"/>
          <w:sz w:val="32"/>
          <w:szCs w:val="24"/>
          <w:highlight w:val="none"/>
          <w:lang w:val="en-US" w:eastAsia="zh-CN"/>
        </w:rPr>
        <w:t>六）参与商户准入规则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本次活动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参与商户分为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24"/>
        </w:rPr>
        <w:t>两类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4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第一类：在朝阳区域内依法合规经营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主营潮玩产品销售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具备固定线下经营场地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和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合法商标注册资质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拥有成熟稳定权益核销服务能力的企业，符合参与条件。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2.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第二类：综合考量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与活动主会场的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空间距离、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highlight w:val="none"/>
          <w:lang w:val="en-US" w:eastAsia="zh-CN" w:bidi="ar-SA"/>
        </w:rPr>
        <w:t>商业配套完善度、消费承载能力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、品牌影响力等因素，结合企业申报情况，选定本次活动服务保障重点商业综合体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。商业综合体内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规范经营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highlight w:val="none"/>
          <w:lang w:val="en-US" w:eastAsia="zh-CN" w:bidi="ar-SA"/>
        </w:rPr>
        <w:t>、具备</w:t>
      </w:r>
      <w:r>
        <w:rPr>
          <w:rFonts w:hint="default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稳定的权益核销服务能力的</w:t>
      </w: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24"/>
          <w:lang w:val="en-US" w:eastAsia="zh-CN" w:bidi="ar-SA"/>
        </w:rPr>
        <w:t>企业可参与。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</w:rPr>
        <w:t>）</w:t>
      </w:r>
      <w:r>
        <w:rPr>
          <w:rFonts w:ascii="Times New Roman" w:hAnsi="Times New Roman" w:eastAsia="楷体_GB2312" w:cs="Times New Roman"/>
          <w:color w:val="auto"/>
          <w:sz w:val="32"/>
          <w:szCs w:val="21"/>
          <w:highlight w:val="none"/>
        </w:rPr>
        <w:t>参与规则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21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由我局向全社会发放参与活动企业征集公告，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1"/>
          <w:lang w:eastAsia="zh-CN"/>
        </w:rPr>
        <w:t>符合准入规则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21"/>
          <w:lang w:val="en-US" w:eastAsia="zh-CN"/>
        </w:rPr>
        <w:t>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自行向发放平台申报。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结合企业申报情况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，我局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资金额度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使用权统筹分配至平台，由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对消费者进行公平公正公开发放。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21"/>
        </w:rPr>
        <w:t>2.核销规则：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活动期间由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自行核销。结合活动进程，由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适时提交核销明细以及证明完成核销的材料</w:t>
      </w:r>
      <w:r>
        <w:rPr>
          <w:rFonts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。政府委托第三方审核企业核销材料并按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%比例抽查核销明细。如材料或核销明细不齐全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或有误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，应由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退还相应金额。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3.动态监管：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局对发放情况进行动态监管，发放结束后，平台需及时向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局真实、准确提供核销情况。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Cs/>
          <w:color w:val="auto"/>
          <w:kern w:val="0"/>
          <w:sz w:val="32"/>
          <w:szCs w:val="24"/>
          <w:highlight w:val="none"/>
          <w:lang w:eastAsia="zh-CN"/>
        </w:rPr>
        <w:t>4</w:t>
      </w:r>
      <w:r>
        <w:rPr>
          <w:rFonts w:hint="default" w:ascii="Times New Roman Regular" w:hAnsi="Times New Roman Regular" w:eastAsia="仿宋_GB2312" w:cs="Times New Roman Regular"/>
          <w:bCs/>
          <w:color w:val="auto"/>
          <w:kern w:val="0"/>
          <w:sz w:val="32"/>
          <w:szCs w:val="24"/>
          <w:highlight w:val="none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（1）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消费者领取“潮玩惠民礼包”后，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不找零、不拆分、不转让、不重复使用，截屏、复制、修改、转发无效。每笔消费限用一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档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，可同时叠加活动商户的其它优惠活动。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（2）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使用“潮玩惠民礼包”核销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的交易如发生退款、撤销，退款金额扣除核销的优惠金额后退回至消费者原付款卡，已核销的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礼包金额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需退回资金池。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（3）活动期间，消费者与平台、参与商户应自觉遵守活动规则，坚决抵制套利等违法违规行为。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</w:rPr>
        <w:t>潮玩惠民礼包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24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仅限本人真实消费使用，禁止转售，不得用于购买购物卡、对虚拟账户充值、虚拟交易、自买自卖、刷单、分单、恶意套利等违反发放规则、损害公共利益或其他违反国家法律法规的行为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</w:rPr>
        <w:t>。一经发现取消资格或采取限制领取、使用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eastAsia="zh-CN"/>
        </w:rPr>
        <w:t>礼包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</w:rPr>
        <w:t>等措施。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如存在违法违规行为造成严重后果的，将依法依规追究相应责任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775B6"/>
    <w:rsid w:val="3DEBA66A"/>
    <w:rsid w:val="7FBF5F7D"/>
    <w:rsid w:val="BFC775B6"/>
    <w:rsid w:val="F7BFF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2026-04-29T01:38:00Z</dcterms:created>
  <dc:creator>uos</dc:creator>
  <cp:lastModifiedBy>uos</cp:lastModifiedBy>
  <dcterms:modified xsi:type="dcterms:W3CDTF">2026-04-28T17:43:22Z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