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中关村科技园区朝阳园管理委员会</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2023年度部门整体绩效评价报告</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一、部门概况</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（一）机构设置及职责工作任务情况</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1.机构设置及人员情况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中共北京市朝阳区委办公室、北京市朝阳区人民政府办公室关于印发《中共北京市朝阳区委中关村科技园区朝阳园工作委员会、中关村科技园区朝阳园管理委员会职能配置、内设机构和人员编制规定》的通知（京朝办字〔2019〕47号）规定，我单位为负责中关村朝阳园规划、建设、管理等行政职能的区政府派出机构，机构级别正处级，共有行政编制39名，内设机构8个，分别为办公室、组织人事处、规划建设处、产业促进处、国际合作处、科技金融处、创新创业处、党群工作处。下设1个事业单位为中关村科技园区朝阳园服务中心，事业编制11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区委编办印发《关于推进中关村科技园区朝阳园管理机构规范工作有关问题的通知》（朝编办〔2022〕14号）规定，原奥林匹克公园管委会机关承担的区域产业促进职责和2名行政编制及人员划入我部门；温榆河管委会机关2名人员及使用的行政编制划入我部门；温榆河管委会所属温榆河生态走廊服务中心7名人员及使用的事业编制划入我部门所属朝阳园服务中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2023年2月，根据《中共北京市朝阳区委中关村科技园区朝阳园工作委员会、中关村科技园区朝阳园管理委员会、北京市朝阳区科学技术和信息化局职能配置、内设机构和人员编制规定》(京朝办字〔2023〕2号)规定，中共北京市朝阳区委中关村科技园区朝阳园工作委员会(简称朝阳园党工委)是区委派出机构，中关村科技园区朝阳园管理委员会(简称朝阳园管委会)是区政府派出机构，为副局级。北京市朝阳区科学技术和信息化局(简称区科学技术和信息化局)是区政府工作部门，为正处级，加挂北京市朝阳区大数据管理局(简称区大数据局)牌子。朝阳园党工委、朝阳园管委会与区科学技术和信息化局合署办公。</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合署办公后，朝阳园党工委、朝阳园管委会(区科学技术和信息化局)设下列内设机构，分别为办公室、发展规划处、产业促进一处、产业促进二处、科技创新处、产业空间管理处、信息化建设发展处、企业服务处、党群工作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2023年6月，根据中共北京市朝阳区委机构编制委员会《关于调整中关村科技园区朝阳园管理机构、区科学技术和信息化局所属事业单位机构编制事项的批复》（朝编〔2023〕29号）规定，朝阳园党工委、朝阳园管委会（区科学技术和信息化局）所属事业单位共3个，分别为区科技创新服务中心，区大数据信息中心，区信息网络中心。</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2.职责职能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合署办公后，部门职责如下：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（1）贯彻落实国家和北京市有关法律法规和政策，执行国家和北京市关于中关村国家自主创新示范区建设发展、创新驱动发展战略、科技和信息化发展的政策，及区委、区政府的有关决议、决定。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（2）负责拟订本区科技发展、园区发展、科普工作等中长期、专项规划并组织实施。促进高新技术产业、数字经济、高精尖产业、工业及中小企业发展。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（3）落实示范区优化产业布局调控要求，参与编制园区空间规划、控制性详细规划、产业布局规划，制定规划综合实施方案并推进落实。</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牵头推进本区科技创新体系建设，组织开展科技创新成果转化、创新能力建设、产学研融合发展、科学研究和技术服务业发展，开展政策宣传培训和政策扶持，开展重大科技成果推广应用示范和科技领域创新示范、军民融合、科技金融、知识产权保护利用、国际化发展、科技惠民等方面的促进服务工作。牵头建立本区科技管理平台和科研项目资金协调、监管机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组织开展本区及园区高新技术企业认定、招商引资、经济分析、经济发展、财源建设、区科技计划专项实施等工作，协助统计主管部门做好园区科技统计工作，协调区有关部门和街乡及驻区社会单位落实园区产业发展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（6）负责开展本区及园区创业服务、企业服务、产业促进、对外交流合作、宣传推介工作，优化发展环境，服务区域协调发展。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（7）负责本区软件及信息服务业、信息化方面监测分析、统计发布工作，协调解决软件及信息服务业、信息化运行和发展中的有关问题，并提出政策建议，指导软件和信息服务业安全生产管理工作。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（8）负责本区信息化基础设施规划管理、协调融合等相关工作。负责政务信息安全管理工作。承担本区通信保障应急指挥相关工作。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（9）统筹推进本区大数据、社会信用信息技术支撑体系建设工作。负责政务数据和相关社会数据的整合、管理、应用和服务体系建设工作。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（10）充分发挥统筹协调作用，督促驻区企业、相关责任单位履职尽责，解决安全生产工作中的突出矛盾和问题。协助有关部门和属地街乡依法履行安全生产管理职责。</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（11）完成区委、区政府交办的其他任务。</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（二）部门整体绩效目标设立情况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部门职责任务和市区工作重点，我部门科学合理设定部门整体绩效目标，做到目标与职责任务相匹配，既能较为全面地覆盖本部门职责任务，同时也统筹考虑未来产业发展和转型升级等形势，使目标制定更具发展性、可持续性和创新性。2023年我部门整体绩效目标如下：以习近平新时代中国特色社会主义思想为指导，把学习贯彻党的二十大精神贯穿于高标准落实中央、市委、区委各项决策部署的各项工作安排中，贯彻新发展理念，创新工作方式方法，切实发挥党建工作引领作用，加快推动数字经济重点产业集群建设，持续推进高质量国际创业投资集聚区建设，营造创新创业活跃氛围，切实推进园区规划建设落地实施，确保各项工作取得新成效、实现新突破。</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二、当年预算执行情况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2023年全年预算收入29300.48万元，其中，基本支出2091.35万元，项目支出27209.13万元，其他支出0万元。全年实际支出29300.48万元，其中，基本支出2091.35万元，项目支出27209.13万元，其他支出0万元。预算执行率为100%。</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三、整体绩效目标实现情况</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（一）产出完成情况分析</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1.产出数量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发挥市、区政策联动效应。构建包括高新技术、中小企业及互联网3.0等细分产业在内的“1+1+N”科技创新政策支持体系强化对产业链、创新链全环节政策覆盖，共支持项目202个，安排支持资金1.18亿元。推动中关村新一轮先行先试改革措施在朝阳园推广落地。联合市级主管部门印发《朝阳区互联网3.0创新发展三年行动计划（2023年-2025年）》，出台专项支持政策，组建国内首个互联网3.0应用场景研究院。</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突出主导产业集群建设优势。构建产业互联网集聚态势。加强与中国工业互联网研究院合作，揭牌启用中国工业互联网研究院科研楼，共建工业互联网产业园，启动北京市工业软件产业创新中心建设，壮大区域工业软件产业集群。加强与阿里、抖音、美团、58等头部互联网平台企业的合作共建。构建以场景建设牵引技术创新的人工智能产业发展模式，联合中关村智用研究院等机构共同发起成立智量未来创新联合体，完成人工智能技术货架1.0版本，在朝阳区首发和示范试点智能技术企业通用评测体系，已完成100余家企业评级。引入安全生产、交通、能源等行业场景资源；建设智慧城市创新实验室，开展“小切口”落地实验，推动人工智能技术落地应用。建设人工智能产业集聚区，联合第四范式组建人工智能产业基金。打造数字安全产业新优势。发挥360行业龙头引领作用，持续推动大数据协同安全技术国家工程研究中心大数据安全科研平台建设，360智脑通用大模型通过4+级别模型开发、模型能力验证，发布全市首个新型网络安全保险产品，成为新型网络安全保险模式朝阳区首个试点成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前沿技术产业集群不断壮大。电子城IC/PIC创新中心建成“一孵化三中心一平台一服务”产业服务体系，光子集成电路产业集聚规模初显。完成光电芯片封测验证平台一期建设，落地电子城集成电路研发服务平台、中关村光电子产业联盟，汇聚了40余家集成电路产业上下游企业，形成以集成电路设计为主导，光子集成为特色的产业集聚。推进数字医疗国际创新中心、中医药大学“北京数智中医药谷”项目，推动公共服务、关键技术和产业孵化三大平台建设，与惠每医疗联合主办第7届妙佑医疗国际医疗峰会暨高瓴HCare全球健康产业峰会，形成“一南一北多组团”的医药健康产业布局。持续推进中关村朝阳园国家地理信息服务出口基地建设，领军企业超图软件发布最新版本SuperMap GIS 2023，有望成为国内地理空间信息技术发展里程碑，上半年企业营收实现亚洲第一。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数字经济发展底座持续夯实。加快建设北京数字经济算力中心，预计2023年底实现开工。积极落实京蒙协作“倍增计划”，设立北京数道智算科技有限公司，共建京蒙合作人工智能算力中心项目。支持华为技术有限公司、北京鲲鹏联合创新中心联合发布朝阳区信创适配攻关基地，完成56个鲲鹏适配测试认证方案，力争打造成为北京领先的信创攻关适配工程样板。加速培育数据市场。北京国际大数据交易所正式挂牌，建设全国首个工业数据资产登记确权平台，登记全国医药行业首个数据资产权证，设立全国首个数据资产交易中心、首个服务跨境场景的数据托管服务平台，全国首个个人信息出境标准合同备案获批，首次实现了北京市与香港特别行政区间征信数据的合规出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抓好组织建设，提升队伍凝聚力。打造高素质干部队伍。完成机构改革相关工作，做好区科技创新体系建设领导小组的调整，朝阳园管委会与区科信局合署办公及干部人员调整，事业单位机构改革、人员转隶、岗位设置及岗位聘用工作。分阶段、有步骤做好干部队伍建设工作，选拔任用机关正科职干部4人，事业单位管理岗位聘任4人；机关干部职级晋升7人，事业单位干部职员等级晋升6人；机关、事业单位新录用干部7人，通过转任、转隶调入干部7人。加强干部交流培养和挂职锻炼，选派年轻干部参与中关村论坛、服贸会等重大活动服务保障，推动干部横向交流，外派挂职干部3人，挂职期满干部2人，接收挂职干部7人。做好干部教育培训工作，制定2023年理论中心组学习计划，每月开展理论中心组学习，结合主题教育理论学习要求，围绕党的二十大精神、“五宜”朝阳建设、“四下基层”等开展专题研讨；组织干部参加市、区各类主体班、专题班36人次；选派优秀干部外出学习考察，今年以来选派50余人次赴上海、杭州、福州、合肥等地交流学习。</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6）持续推进园区大党建格局。提升园区重点企业“两个覆盖”质量，全年共指导成立非公企业党组织8家、非公企业纪委1家。加大两新领域党员发展力度，全年共吸收预备党员71名，预备党员转正60名，培养积极分子150名。扩大工会组织基础，朝阳园总工会新增建会企业2家，创建“职工之家”3家，“暖心驿站”5家，新增会员1500人。    </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2.产出质量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通过各项工作开展，园区发展取得巨大成就。2023年园区选树先进典型，发挥榜样力量，4名园区企业科技工作者荣获首都劳动奖章。3名园区企业职工当选朝阳群众优秀榜样。超图软件公司党委等5家党组织的创新做法入选全市“党建强、发展强”党建品牌项目。柏睿数据党支部和优品三悦党支部获评全市非公企业党组织奖励经费支持对象。落地全国首个国际科技组织总部集聚区，首批8家国际科技组织入驻。落地建设全市首个“中关村社区</w:t>
      </w:r>
      <w:r>
        <w:rPr>
          <w:rFonts w:hint="eastAsia" w:ascii="仿宋_GB2312"/>
          <w:sz w:val="32"/>
          <w:szCs w:val="32"/>
        </w:rPr>
        <w:t>•</w:t>
      </w:r>
      <w:r>
        <w:rPr>
          <w:rFonts w:hint="eastAsia" w:ascii="仿宋_GB2312" w:eastAsia="仿宋_GB2312"/>
          <w:sz w:val="32"/>
          <w:szCs w:val="32"/>
        </w:rPr>
        <w:t>数字产业创新中心”，入驻数字经济相关企业32家。全区16家企业被认定为北京市外资研发中心，占全市比重达到22%。高水平承办2023年全球数字经济大会，投入场地及服务保障费用937万元，投入服务保障人员超3145人次互联网3.0产业已形成全市标杆。组建国内首个互联网3.0应用场景研究院。全市首家中关村互联网3.0产业园在星地中心正式落成，推出业内首个XR产业加速器，落地网易（北京）数字产业中心。加快北京数字人基地建设，组建全市首支数字人AI基金，上线全国首个数字人资产存证平台，搭建光场采集、动作捕捉、XR虚实互动创新应用平台等共性技术平台，服务产业创新发展。第一批重大应用场景“揭榜挂帅”共匹配场景135家，建设完成工体元宇宙、泡泡码特城市乐园、凤凰元宇宙等一批示范应用场景，新工体上线全球首个“元宇宙就绪的5G超级网络”、打造全球首个特大型数实融合MaaS（元宇宙即服务）平台。共引进北天极采、讯众通信、运通数字、言己城科技等企业61家，全区互联网3.0产业企业超600家，互联网3.0形成领跑全市的优势。高水平组织2023年中关村论坛世界领先科技园区发展论坛、科博会朝阳区展览展示活动、未来科学论坛等活动。抖音、华琨振宇、艺旗集团北京总部等一批重大项目落地达产。同时统筹做好园区安全生产工作，园区重点项目全年安全无事故。</w:t>
      </w:r>
    </w:p>
    <w:p>
      <w:pPr>
        <w:adjustRightInd w:val="0"/>
        <w:snapToGrid w:val="0"/>
        <w:spacing w:line="600" w:lineRule="exact"/>
        <w:ind w:firstLine="643" w:firstLineChars="200"/>
        <w:rPr>
          <w:rFonts w:eastAsia="仿宋_GB2312"/>
          <w:b/>
          <w:kern w:val="0"/>
          <w:sz w:val="32"/>
          <w:szCs w:val="32"/>
        </w:rPr>
      </w:pPr>
      <w:r>
        <w:rPr>
          <w:rFonts w:hint="eastAsia" w:eastAsia="仿宋_GB2312"/>
          <w:b/>
          <w:kern w:val="0"/>
          <w:sz w:val="32"/>
          <w:szCs w:val="32"/>
        </w:rPr>
        <w:t>3.产出</w:t>
      </w:r>
      <w:r>
        <w:rPr>
          <w:rFonts w:eastAsia="仿宋_GB2312"/>
          <w:b/>
          <w:kern w:val="0"/>
          <w:sz w:val="32"/>
          <w:szCs w:val="32"/>
        </w:rPr>
        <w:t>进度</w:t>
      </w:r>
    </w:p>
    <w:p>
      <w:pPr>
        <w:spacing w:line="600" w:lineRule="exact"/>
        <w:ind w:left="105" w:leftChars="50" w:firstLine="480" w:firstLineChars="150"/>
        <w:rPr>
          <w:rFonts w:hint="eastAsia" w:ascii="仿宋_GB2312" w:eastAsia="仿宋_GB2312"/>
          <w:sz w:val="32"/>
          <w:szCs w:val="32"/>
        </w:rPr>
      </w:pPr>
      <w:r>
        <w:rPr>
          <w:rFonts w:ascii="仿宋_GB2312" w:hAnsi="宋体" w:eastAsia="仿宋_GB2312" w:cs="宋体"/>
          <w:color w:val="000000"/>
          <w:kern w:val="0"/>
          <w:sz w:val="32"/>
          <w:szCs w:val="32"/>
        </w:rPr>
        <w:t>我部门严格按照年初预算安排和工作部署</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积极推进</w:t>
      </w:r>
      <w:r>
        <w:rPr>
          <w:rFonts w:hint="eastAsia" w:ascii="仿宋_GB2312" w:hAnsi="宋体" w:eastAsia="仿宋_GB2312" w:cs="宋体"/>
          <w:color w:val="000000"/>
          <w:kern w:val="0"/>
          <w:sz w:val="32"/>
          <w:szCs w:val="32"/>
        </w:rPr>
        <w:t>各项</w:t>
      </w:r>
      <w:r>
        <w:rPr>
          <w:rFonts w:ascii="仿宋_GB2312" w:hAnsi="宋体" w:eastAsia="仿宋_GB2312" w:cs="宋体"/>
          <w:color w:val="000000"/>
          <w:kern w:val="0"/>
          <w:sz w:val="32"/>
          <w:szCs w:val="32"/>
        </w:rPr>
        <w:t>工作开展</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年末</w:t>
      </w:r>
      <w:r>
        <w:rPr>
          <w:rFonts w:hint="eastAsia" w:ascii="仿宋_GB2312" w:hAnsi="宋体" w:eastAsia="仿宋_GB2312" w:cs="宋体"/>
          <w:color w:val="000000"/>
          <w:kern w:val="0"/>
          <w:sz w:val="32"/>
          <w:szCs w:val="32"/>
        </w:rPr>
        <w:t>圆满完成全年预算执行目标。</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 xml:space="preserve">.产出成本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我部门注重加强项目论证和成本测算，严格控制项目成本。全年项目支出</w:t>
      </w:r>
      <w:r>
        <w:rPr>
          <w:rFonts w:hint="eastAsia" w:ascii="仿宋_GB2312" w:eastAsia="仿宋_GB2312"/>
          <w:sz w:val="32"/>
          <w:szCs w:val="32"/>
          <w:lang w:val="en-US" w:eastAsia="zh-CN"/>
        </w:rPr>
        <w:t>49</w:t>
      </w:r>
      <w:r>
        <w:rPr>
          <w:rFonts w:hint="eastAsia" w:ascii="仿宋_GB2312" w:eastAsia="仿宋_GB2312"/>
          <w:sz w:val="32"/>
          <w:szCs w:val="32"/>
        </w:rPr>
        <w:t>个，支出资金2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667</w:t>
      </w:r>
      <w:r>
        <w:rPr>
          <w:rFonts w:hint="eastAsia" w:ascii="仿宋_GB2312" w:eastAsia="仿宋_GB2312"/>
          <w:sz w:val="32"/>
          <w:szCs w:val="32"/>
        </w:rPr>
        <w:t>.</w:t>
      </w:r>
      <w:r>
        <w:rPr>
          <w:rFonts w:hint="eastAsia" w:ascii="仿宋_GB2312" w:eastAsia="仿宋_GB2312"/>
          <w:sz w:val="32"/>
          <w:szCs w:val="32"/>
          <w:lang w:val="en-US" w:eastAsia="zh-CN"/>
        </w:rPr>
        <w:t>28</w:t>
      </w:r>
      <w:r>
        <w:rPr>
          <w:rFonts w:hint="eastAsia" w:ascii="仿宋_GB2312" w:eastAsia="仿宋_GB2312"/>
          <w:sz w:val="32"/>
          <w:szCs w:val="32"/>
        </w:rPr>
        <w:t>万元。不存在无预算、超预算支出情况。</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（二）效果实现情况分析</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1.经济效益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园区数字经济重点产业集群建设成果丰厚。落实全球数字经济标杆城市“一区一品”建设要求，印发《2023年朝阳区数字经济核心区建设工作要点》，统筹推动落实9方面30项重点任务。今年上半年全区数字经济核心产业收入2459.1亿元，同比增长7.8%，高于全市增速0.6个百分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提升区域经济高质量发展活力。牵头构建包括软件信息服务业、科技服务业、工业、大中型重点企业研发在内的全区GDP高质量发展促进体系。1-8月，全区信息传输、软件和信息技术服务业实现收入2001.5亿元、同比增长10.3%；科学研究和技术服务业实现收入1048.2亿元，同比下降4.9%，降幅呈收窄态势；大中型重点企业实现研发费用281.9亿元，同比增长4.5%。全区规模以上工业企业实现工业总产值505.5亿元，同比增长1.6%，增速高于全市0.3个百分点，在城六区中，产量增速排名第一。</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2.社会效益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贴身做好企业服务，优化区域营商环境，增强企业粘性，服务经济社会发展。高质量推进国际创投集聚区2.0建设，储备创业项目404个，为170家企业提供投融资对接服务，服务投资机构183家次，广泛宣传中央、市区出台的各项帮扶政策，主动对接企业，针对企业反映的困难和问题积极帮助协调解决，稳定企业发展。打造“城市智慧大脑2.0”。建设政务云底座平台、共享交换平台、地理信息服务平台、大数据平台等共性基础平台，搭建政务服务、城市管理、社会治理等领域专题应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谋划园区发展顶层设计，营造创新创业活跃氛围，为朝阳区高质量发展贡献力量。编打造科技创新合作先导区。与北京工业大学合作启动“数字朝阳行动计划”，启动北京首个区校合作创新区“山河湾谷”建设，发布创新区建设纲要及十条支持建设意见，以创新生态赋能南部崛起，将优质科教资源与朝阳创新体系相融合，服务北京国际科技创新中心建设。举办互联网3.0高峰论坛、数字经济赋能朝阳“南部崛起”论坛、光电子集成应用与产业化发展论坛3场主题论坛、全球数字经济创新大赛、精品主题展等活动。发挥区科技创新引导基金作用，出资30亿元，撬动基金总规模达到267亿元。推进重大项目建设。完成朝阳园北区高压线临时迁改工程，全面推进高压线永久入地工程进场施工；国际医院计划12月底开工建设，国际人才公寓预计2024年8月交付使用，完成“北京未来科技交流中心”定位研究。推进阿里巴巴北京总部二期落地实施。</w:t>
      </w:r>
    </w:p>
    <w:p>
      <w:pPr>
        <w:spacing w:line="600" w:lineRule="exact"/>
        <w:ind w:left="105" w:leftChars="50" w:firstLine="482" w:firstLineChars="150"/>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3.环境效益</w:t>
      </w:r>
    </w:p>
    <w:p>
      <w:pPr>
        <w:spacing w:line="600" w:lineRule="exact"/>
        <w:ind w:left="105" w:leftChars="50" w:firstLine="480" w:firstLineChars="150"/>
        <w:rPr>
          <w:rFonts w:hint="eastAsia" w:ascii="仿宋_GB2312" w:eastAsia="仿宋_GB2312"/>
          <w:sz w:val="32"/>
          <w:szCs w:val="32"/>
        </w:rPr>
      </w:pPr>
      <w:r>
        <w:rPr>
          <w:rFonts w:ascii="仿宋_GB2312" w:hAnsi="宋体" w:eastAsia="仿宋_GB2312" w:cs="宋体"/>
          <w:color w:val="000000"/>
          <w:kern w:val="0"/>
          <w:sz w:val="32"/>
          <w:szCs w:val="32"/>
        </w:rPr>
        <w:t>我部门项目均为科技领域项目</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不涉及施工</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土建等</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不存在对环境有害影响</w:t>
      </w:r>
      <w:r>
        <w:rPr>
          <w:rFonts w:hint="eastAsia" w:ascii="仿宋_GB2312" w:hAnsi="宋体" w:eastAsia="仿宋_GB2312" w:cs="宋体"/>
          <w:color w:val="000000"/>
          <w:kern w:val="0"/>
          <w:sz w:val="32"/>
          <w:szCs w:val="32"/>
        </w:rPr>
        <w:t>。</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.可持续性影响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通过园区领导干部上下一心、共同努力，朝阳园科技创新发展思路愈加明确，科技干部队伍力量进一步增强，科技创新政策更加精准、细化，企业服务日益周到、完善，有效提升了区域发展环境和发展可持续性，增强了企业粘性，为实现北京科创中心建设、世界领先科技园区建设、“两区”建设和数字经济核心区建设提供了持续发展动能。</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5</w:t>
      </w:r>
      <w:r>
        <w:rPr>
          <w:rFonts w:hint="eastAsia" w:ascii="仿宋_GB2312" w:eastAsia="仿宋_GB2312"/>
          <w:b/>
          <w:sz w:val="32"/>
          <w:szCs w:val="32"/>
        </w:rPr>
        <w:t>.服务对象满意度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本部门相关项目服务对象满意度结果客观，为后续工作开展提供了有力支撑。</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四、预算管理情况分析</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（一）财务管理</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1.财务管理制度健全性</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全面建立包括资金、资产、财务收支管理、预算管理、固定资产管理、合同管理、公务卡管理、物品服务采购管理等在内的全流程内部控制制度，按照上级单位要求每年进行内部控制评价、编制年度内部控制报告，同时接受上级部门审计，根据审计发现的问题及本单位执行过程中发现的问题，不断完善本单位内部控制制度，达到管控风险的目的。</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2.资金使用合规性和安全性</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严格贯彻执行国家有关法律、法规和财务规章制度，建立健全内部财务管理制度，合理统筹安排资金使用，各项支出均严格遵守行政单位经费管理有关规定，专款专用，节约使用各项资金，确保各项资金安全、合规。</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3.会计基础信息完善性</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严格按照《预算法》、《2023年政府收支分类科目》和《政府会计制度》等规章制度进行财务核算，准确填制收支记账科目、金额和用途，相关附件清晰、完整，领导逐级审核签字完整，能够全面、真实、有效反映我部门收支情况和资产负债状况。</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（二）资产管理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资产包括货币资金、财政应返还额度及固定资产等，严格执行现金管理条例、公务卡管理制度，规范固定资产管理，定期盘点资产，做好资产核销报废和调拨等工作，同时根据各部门工作需要，按标准购置资产，无超额、超限配置资产情况，资产管理状况良好。</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（三）绩效管理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根据上级部门有关要求开展绩效管理，对所有项目支出均实行全面绩效管理，年初申报预算时制定科学合理绩效目标，年中对项目支出绩效情况进行监控，次年初对上年各预算项目绩效完成情况进行自评；同时参考每月9月项目绩效完成情况，合理安排次年项目预算，切实提高财政资源配置效率。注重配合同级财政部门做好重大项目资金事前和事后绩效评价工作，对绩效评价反馈的问题，切实制定整改措施，立行立改，不断提高资金使用效益。</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（四）结转结余率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本部门2023年无结转结余资金。</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（五）部门预决算差异率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2023年基本支出年初预算1959.86万元，决算基本支出收入2091.35万元，实际支出2091.35万元，预决算增幅6.71%。主要原因为是机构改革及新调人员等情况，导致人员经费收支增加。2023年项目支出年初预算15723.8万元，决算项目支出收入27209.13万元，实际支出27209.13万元，预决算增幅73.04%。主要原因为进一步促进高新技术产业发展和数字经济产业发展，从而追加朝阳区支持互联网3.0创新发展的若干措施项目，追加资金8282.60万元；追加北京市工业软件创新中心2023年度支持资金，追加资金946万元；追加京港互联网3.0产业中心建设</w:t>
      </w:r>
      <w:r>
        <w:rPr>
          <w:rFonts w:hint="eastAsia" w:ascii="仿宋_GB2312" w:eastAsia="仿宋_GB2312"/>
          <w:sz w:val="32"/>
          <w:szCs w:val="32"/>
          <w:lang w:val="en-US" w:eastAsia="zh-CN"/>
        </w:rPr>
        <w:t>项目</w:t>
      </w:r>
      <w:r>
        <w:rPr>
          <w:rFonts w:hint="eastAsia" w:ascii="仿宋_GB2312" w:eastAsia="仿宋_GB2312"/>
          <w:sz w:val="32"/>
          <w:szCs w:val="32"/>
        </w:rPr>
        <w:t>，追加资金900万元等。</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五、总体评价结论</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（一）评价得分情况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2023年我部门总体预算执行率100%，总体得分为100。</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（二）存在的问题及原因分析</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六、措施建议（下一步工作举措）</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2023年度部门整体绩效已经按照年初制定考核目标完成，2024年我们将进一步增强对预算项目执行监控，增强预算编制科学性，注重论证项目实施条件、可行性和风险性，及时发现解决项目执行过程中遇到的问题，力争项目能够顺利实施、圆满完成。</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jc w:val="right"/>
        <w:rPr>
          <w:rFonts w:hint="eastAsia" w:ascii="仿宋_GB2312" w:eastAsia="仿宋_GB2312"/>
          <w:sz w:val="32"/>
          <w:szCs w:val="32"/>
        </w:rPr>
      </w:pPr>
      <w:r>
        <w:rPr>
          <w:rFonts w:hint="eastAsia" w:ascii="仿宋_GB2312" w:eastAsia="仿宋_GB2312"/>
          <w:sz w:val="32"/>
          <w:szCs w:val="32"/>
        </w:rPr>
        <w:t>中关村科技园区朝阳园管理委员会</w:t>
      </w:r>
    </w:p>
    <w:p>
      <w:pPr>
        <w:wordWrap w:val="0"/>
        <w:spacing w:line="560" w:lineRule="exact"/>
        <w:jc w:val="right"/>
        <w:rPr>
          <w:rFonts w:hint="eastAsia" w:ascii="仿宋_GB2312" w:eastAsia="仿宋_GB2312"/>
          <w:sz w:val="32"/>
          <w:szCs w:val="32"/>
        </w:rPr>
      </w:pPr>
      <w:r>
        <w:rPr>
          <w:rFonts w:hint="eastAsia" w:ascii="仿宋_GB2312" w:eastAsia="仿宋_GB2312"/>
          <w:sz w:val="32"/>
          <w:szCs w:val="32"/>
        </w:rPr>
        <w:t xml:space="preserve">2024年3月20日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4OTA4MDljYTg0ZGQxODZjZjkyZjY3ZDA5ZmJhZDEifQ=="/>
  </w:docVars>
  <w:rsids>
    <w:rsidRoot w:val="008518AA"/>
    <w:rsid w:val="000235E7"/>
    <w:rsid w:val="00050C69"/>
    <w:rsid w:val="00062EBD"/>
    <w:rsid w:val="000A29A6"/>
    <w:rsid w:val="000A3B03"/>
    <w:rsid w:val="000B0475"/>
    <w:rsid w:val="000B522C"/>
    <w:rsid w:val="000B7671"/>
    <w:rsid w:val="000D5BDE"/>
    <w:rsid w:val="000D7970"/>
    <w:rsid w:val="000E27BA"/>
    <w:rsid w:val="0010790D"/>
    <w:rsid w:val="00112B10"/>
    <w:rsid w:val="0013583F"/>
    <w:rsid w:val="001A3EFB"/>
    <w:rsid w:val="001B1C2A"/>
    <w:rsid w:val="001C40E4"/>
    <w:rsid w:val="001E025F"/>
    <w:rsid w:val="001F6B3E"/>
    <w:rsid w:val="002818F3"/>
    <w:rsid w:val="002838B9"/>
    <w:rsid w:val="00285D29"/>
    <w:rsid w:val="002868F7"/>
    <w:rsid w:val="0029627A"/>
    <w:rsid w:val="002A19CD"/>
    <w:rsid w:val="002C0DA8"/>
    <w:rsid w:val="002C63D2"/>
    <w:rsid w:val="002D50BA"/>
    <w:rsid w:val="002E20DA"/>
    <w:rsid w:val="002E2CE2"/>
    <w:rsid w:val="002F194B"/>
    <w:rsid w:val="002F514C"/>
    <w:rsid w:val="003033C2"/>
    <w:rsid w:val="00324A46"/>
    <w:rsid w:val="00327347"/>
    <w:rsid w:val="00331EA0"/>
    <w:rsid w:val="00334BE4"/>
    <w:rsid w:val="003368D4"/>
    <w:rsid w:val="00355FAA"/>
    <w:rsid w:val="00360D14"/>
    <w:rsid w:val="00361A31"/>
    <w:rsid w:val="00386C7F"/>
    <w:rsid w:val="003904FD"/>
    <w:rsid w:val="003D2851"/>
    <w:rsid w:val="00423C9E"/>
    <w:rsid w:val="004628EF"/>
    <w:rsid w:val="00476550"/>
    <w:rsid w:val="004A167D"/>
    <w:rsid w:val="004A2466"/>
    <w:rsid w:val="00503753"/>
    <w:rsid w:val="00524CAE"/>
    <w:rsid w:val="005276FF"/>
    <w:rsid w:val="005303C7"/>
    <w:rsid w:val="005377E8"/>
    <w:rsid w:val="00571F4E"/>
    <w:rsid w:val="00576C17"/>
    <w:rsid w:val="0058631D"/>
    <w:rsid w:val="005B09FB"/>
    <w:rsid w:val="005C08C8"/>
    <w:rsid w:val="00620AA1"/>
    <w:rsid w:val="006256B0"/>
    <w:rsid w:val="006531A6"/>
    <w:rsid w:val="00667F80"/>
    <w:rsid w:val="00691752"/>
    <w:rsid w:val="00695D28"/>
    <w:rsid w:val="006A2A97"/>
    <w:rsid w:val="006B176D"/>
    <w:rsid w:val="006B4E4C"/>
    <w:rsid w:val="006D4F8A"/>
    <w:rsid w:val="006E0535"/>
    <w:rsid w:val="006E4C9C"/>
    <w:rsid w:val="006F5ABC"/>
    <w:rsid w:val="00700948"/>
    <w:rsid w:val="007059CD"/>
    <w:rsid w:val="00707CAF"/>
    <w:rsid w:val="00720EC0"/>
    <w:rsid w:val="007312C0"/>
    <w:rsid w:val="007557F8"/>
    <w:rsid w:val="007A2937"/>
    <w:rsid w:val="007A47F4"/>
    <w:rsid w:val="007B4DA3"/>
    <w:rsid w:val="007C21FB"/>
    <w:rsid w:val="007E100E"/>
    <w:rsid w:val="008309DB"/>
    <w:rsid w:val="00843DE4"/>
    <w:rsid w:val="008518AA"/>
    <w:rsid w:val="00852116"/>
    <w:rsid w:val="0085515A"/>
    <w:rsid w:val="00865CDF"/>
    <w:rsid w:val="008B0551"/>
    <w:rsid w:val="008C29E8"/>
    <w:rsid w:val="0090750F"/>
    <w:rsid w:val="00920559"/>
    <w:rsid w:val="00927A13"/>
    <w:rsid w:val="00955384"/>
    <w:rsid w:val="009A523E"/>
    <w:rsid w:val="009A5E47"/>
    <w:rsid w:val="009A6090"/>
    <w:rsid w:val="009B2897"/>
    <w:rsid w:val="009B42EF"/>
    <w:rsid w:val="00A1236A"/>
    <w:rsid w:val="00A204FA"/>
    <w:rsid w:val="00A3198D"/>
    <w:rsid w:val="00A8046C"/>
    <w:rsid w:val="00A82F6C"/>
    <w:rsid w:val="00AE150F"/>
    <w:rsid w:val="00AF094F"/>
    <w:rsid w:val="00B03DD8"/>
    <w:rsid w:val="00B36701"/>
    <w:rsid w:val="00B614D2"/>
    <w:rsid w:val="00B6624F"/>
    <w:rsid w:val="00B826A1"/>
    <w:rsid w:val="00BA0A51"/>
    <w:rsid w:val="00BB3659"/>
    <w:rsid w:val="00BC5291"/>
    <w:rsid w:val="00BD0E74"/>
    <w:rsid w:val="00BE512D"/>
    <w:rsid w:val="00BE792D"/>
    <w:rsid w:val="00BF7FD4"/>
    <w:rsid w:val="00C307A4"/>
    <w:rsid w:val="00C42D78"/>
    <w:rsid w:val="00C82153"/>
    <w:rsid w:val="00CD7679"/>
    <w:rsid w:val="00D01621"/>
    <w:rsid w:val="00D45FC7"/>
    <w:rsid w:val="00D60707"/>
    <w:rsid w:val="00D723CE"/>
    <w:rsid w:val="00D8469B"/>
    <w:rsid w:val="00DA5AB9"/>
    <w:rsid w:val="00DB35D2"/>
    <w:rsid w:val="00DC4F86"/>
    <w:rsid w:val="00DD1E30"/>
    <w:rsid w:val="00DD58BC"/>
    <w:rsid w:val="00DF7BDF"/>
    <w:rsid w:val="00E10CDC"/>
    <w:rsid w:val="00E434DE"/>
    <w:rsid w:val="00E45C71"/>
    <w:rsid w:val="00EB68E6"/>
    <w:rsid w:val="00EC6977"/>
    <w:rsid w:val="00EF5B2F"/>
    <w:rsid w:val="00F11571"/>
    <w:rsid w:val="00F142EE"/>
    <w:rsid w:val="00F26516"/>
    <w:rsid w:val="00F479C7"/>
    <w:rsid w:val="00F53E6B"/>
    <w:rsid w:val="00F9354D"/>
    <w:rsid w:val="14D64244"/>
    <w:rsid w:val="25BE5487"/>
    <w:rsid w:val="76F12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1151</Words>
  <Characters>6561</Characters>
  <Lines>54</Lines>
  <Paragraphs>15</Paragraphs>
  <TotalTime>3</TotalTime>
  <ScaleCrop>false</ScaleCrop>
  <LinksUpToDate>false</LinksUpToDate>
  <CharactersWithSpaces>7697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2024-03-21T01:53:00Z</dcterms:created>
  <dc:creator>lenovo</dc:creator>
  <cp:lastModifiedBy>BXC</cp:lastModifiedBy>
  <dcterms:modified xsi:type="dcterms:W3CDTF">2024-04-03T02:13:47Z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CE8E7321754C4FB4A492C9286C228A92_12</vt:lpwstr>
  </property>
</Properties>
</file>